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spacing w:line="360" w:lineRule="auto"/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税务系统领导干部深入推进依法治税培训班</w:t>
      </w:r>
    </w:p>
    <w:p>
      <w:pPr>
        <w:snapToGrid w:val="0"/>
        <w:spacing w:after="156" w:afterLines="50" w:line="360" w:lineRule="auto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</w:t>
      </w:r>
      <w:r>
        <w:rPr>
          <w:rFonts w:hint="eastAsia" w:ascii="黑体" w:hAnsi="黑体" w:eastAsia="黑体" w:cs="仿宋"/>
          <w:sz w:val="32"/>
          <w:szCs w:val="32"/>
        </w:rPr>
        <w:t>计划书</w:t>
      </w:r>
    </w:p>
    <w:bookmarkEnd w:id="0"/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2023年8月9日</w:t>
      </w:r>
      <w:r>
        <w:rPr>
          <w:rFonts w:hint="eastAsia" w:ascii="仿宋" w:hAnsi="仿宋" w:eastAsia="仿宋" w:cs="仿宋"/>
          <w:sz w:val="28"/>
          <w:szCs w:val="28"/>
        </w:rPr>
        <w:t>，</w:t>
      </w:r>
      <w:r>
        <w:rPr>
          <w:rFonts w:ascii="仿宋" w:hAnsi="仿宋" w:eastAsia="仿宋" w:cs="仿宋"/>
          <w:sz w:val="28"/>
          <w:szCs w:val="28"/>
        </w:rPr>
        <w:t>国务院办公厅发布《提升行政执法质量三年行动计划（2023—2025年）》</w:t>
      </w:r>
      <w:r>
        <w:rPr>
          <w:rFonts w:hint="eastAsia" w:ascii="仿宋" w:hAnsi="仿宋" w:eastAsia="仿宋" w:cs="仿宋"/>
          <w:sz w:val="28"/>
          <w:szCs w:val="28"/>
        </w:rPr>
        <w:t>，为深入推进税务精确执法，国家税务总局随后发布了《落实</w:t>
      </w:r>
      <w:r>
        <w:rPr>
          <w:rFonts w:ascii="仿宋" w:hAnsi="仿宋" w:eastAsia="仿宋" w:cs="仿宋"/>
          <w:sz w:val="28"/>
          <w:szCs w:val="28"/>
        </w:rPr>
        <w:t>&lt;提升行政执法质量三年行动计划（2023—2025年）&gt;</w:t>
      </w:r>
      <w:r>
        <w:rPr>
          <w:rFonts w:hint="eastAsia" w:ascii="仿宋" w:hAnsi="仿宋" w:eastAsia="仿宋" w:cs="仿宋"/>
          <w:sz w:val="28"/>
          <w:szCs w:val="28"/>
        </w:rPr>
        <w:t>任务清单》，要求要全面提升行政执法人员的能力素质。2024年7月，党的二十届三中全会通过的《中共中央关于进一步全面深化改革、推进中国式现代化的决定》专章论述完善中国特色社会主义法治体系，并对深入推进依法行政作出重要部署。2024年7月19日，国家税务总局党委书记、局长胡静林主持召开党委（扩大）会议，传达学习党的二十届三中全会精神，研究部署税务系统贯彻落实措施。会议要求，要持续深化依法治税、以数治税、从严治税，持续打造效能税务，高质量推进中国式现代化税务实践，高水平助力全会确定的改革目标圆满实现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在此背景下，为加强税务系统领导干部法律业务能力和执法能力，特策划本期培训班。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税务系统领导干部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通过培训，提升领导干部政治站位，坚定理想信念；通过系统学习最新法律知识和执法实务课程，切实提高领导干部精确执法的能力。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在校培训时间共8天，其中课程环节6天，非课程环节2天。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四、课程设置</w:t>
      </w:r>
    </w:p>
    <w:p>
      <w:pPr>
        <w:snapToGrid w:val="0"/>
        <w:spacing w:line="360" w:lineRule="auto"/>
        <w:ind w:firstLine="562" w:firstLineChars="200"/>
        <w:jc w:val="left"/>
        <w:rPr>
          <w:rFonts w:hint="eastAsia" w:ascii="仿宋" w:hAnsi="仿宋" w:eastAsia="仿宋" w:cs="仿宋"/>
          <w:b/>
          <w:sz w:val="28"/>
          <w:szCs w:val="28"/>
        </w:rPr>
      </w:pPr>
    </w:p>
    <w:tbl>
      <w:tblPr>
        <w:tblStyle w:val="2"/>
        <w:tblW w:w="9123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895"/>
        <w:gridCol w:w="1297"/>
        <w:gridCol w:w="1221"/>
        <w:gridCol w:w="12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476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895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297" w:type="dxa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221" w:type="dxa"/>
            <w:tcBorders>
              <w:top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234" w:type="dxa"/>
            <w:tcBorders>
              <w:top w:val="single" w:color="auto" w:sz="12" w:space="0"/>
              <w:left w:val="single" w:color="auto" w:sz="4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（1.5天）</w:t>
            </w:r>
          </w:p>
        </w:tc>
        <w:tc>
          <w:tcPr>
            <w:tcW w:w="3895" w:type="dxa"/>
            <w:tcBorders>
              <w:top w:val="single" w:color="auto" w:sz="6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1.党的理论与党性教育相关课程</w:t>
            </w:r>
          </w:p>
        </w:tc>
        <w:tc>
          <w:tcPr>
            <w:tcW w:w="1297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34" w:type="dxa"/>
            <w:tcBorders>
              <w:top w:val="single" w:color="auto" w:sz="6" w:space="0"/>
              <w:lef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2.主题党日活动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3.现场教学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restart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（4.5天）</w:t>
            </w:r>
          </w:p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1.知宪于心守宪于行 增强“关键少数”法治素养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2.税务系统领导干部警示教育案例</w:t>
            </w:r>
          </w:p>
        </w:tc>
        <w:tc>
          <w:tcPr>
            <w:tcW w:w="1297" w:type="dxa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3.行政处罚与刑事处罚双向衔接中涉税案例解读及法律分析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4.《民法典》涉税条款在执法中的应用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5.税务行政争议的分析与反思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税务行政执法中证据问题研究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7.用三项制度规范税务行政执法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外聘教师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8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8.征管法修订中的热点问题与相关法律衔接分析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vMerge w:val="continue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</w:pPr>
          </w:p>
        </w:tc>
        <w:tc>
          <w:tcPr>
            <w:tcW w:w="3895" w:type="dxa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9.学员论坛：强化法治思维、提高精确执法的经验分享</w:t>
            </w:r>
          </w:p>
        </w:tc>
        <w:tc>
          <w:tcPr>
            <w:tcW w:w="1297" w:type="dxa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0.5</w:t>
            </w:r>
          </w:p>
        </w:tc>
        <w:tc>
          <w:tcPr>
            <w:tcW w:w="1221" w:type="dxa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234" w:type="dxa"/>
            <w:tcBorders>
              <w:left w:val="single" w:color="auto" w:sz="4" w:space="0"/>
            </w:tcBorders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6" w:type="dxa"/>
            <w:tcBorders>
              <w:top w:val="single" w:color="auto" w:sz="6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非课程环节（2天）</w:t>
            </w:r>
          </w:p>
        </w:tc>
        <w:tc>
          <w:tcPr>
            <w:tcW w:w="3895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1.报到、返程</w:t>
            </w:r>
          </w:p>
        </w:tc>
        <w:tc>
          <w:tcPr>
            <w:tcW w:w="1297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234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371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3752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</w:tr>
    </w:tbl>
    <w:p>
      <w:pPr>
        <w:snapToGrid w:val="0"/>
        <w:spacing w:line="360" w:lineRule="auto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D6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2025-01-06T08:16:23Z</dcterms:created>
  <dc:creator>Administrator</dc:creator>
  <cp:lastModifiedBy>Administrator</cp:lastModifiedBy>
  <dcterms:modified xsi:type="dcterms:W3CDTF">2025-01-06T08:16:40Z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