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60" w:firstLineChars="3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税务系统行政执法人员精确执法能力提升培训班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项目计划书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更好贯彻国务院办公厅《提升行政执法质量三年行动计划（2023—2025年）》精神，落实国家税务总局《落实&lt;提升行政执法质量三年行动计划（2023—2025年）&gt;任务清单》（以下简称《任务清单》）的具体要求，深入推进税务精确执法，使税务系统行政执法类公务员达到每年60学时的培训要求，全面提升能力素质，策划本期培训班。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一、培训对象</w:t>
      </w:r>
    </w:p>
    <w:p>
      <w:pPr>
        <w:widowControl/>
        <w:shd w:val="clear" w:color="auto" w:fill="FFFFFF"/>
        <w:autoSpaceDE w:val="0"/>
        <w:spacing w:line="440" w:lineRule="exact"/>
        <w:ind w:firstLine="482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税务机关所有行政执法类公务员</w:t>
      </w:r>
    </w:p>
    <w:p>
      <w:pPr>
        <w:tabs>
          <w:tab w:val="left" w:pos="4071"/>
        </w:tabs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二、培训目标</w:t>
      </w:r>
      <w:r>
        <w:rPr>
          <w:rFonts w:hint="eastAsia" w:ascii="仿宋" w:hAnsi="仿宋" w:eastAsia="仿宋"/>
          <w:b/>
          <w:sz w:val="28"/>
          <w:szCs w:val="28"/>
        </w:rPr>
        <w:tab/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通过培训，贯彻落实《任务清单》的培训要求，系统学习公共法律、税费业务及税收执法技能的相关知识，切实提升行政执法类公务员运用法治思维和法治方式开展执法、维护稳定、化解矛盾的能力。</w:t>
      </w:r>
    </w:p>
    <w:p>
      <w:p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三、培训时间</w:t>
      </w:r>
    </w:p>
    <w:p>
      <w:pPr>
        <w:autoSpaceDE w:val="0"/>
        <w:adjustRightInd w:val="0"/>
        <w:snapToGrid w:val="0"/>
        <w:spacing w:line="440" w:lineRule="exact"/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培训时间共10天，其中课程环节7天，非课程环节3天。</w:t>
      </w:r>
    </w:p>
    <w:p>
      <w:pPr>
        <w:numPr>
          <w:ilvl w:val="0"/>
          <w:numId w:val="1"/>
        </w:numPr>
        <w:autoSpaceDE w:val="0"/>
        <w:adjustRightInd w:val="0"/>
        <w:snapToGrid w:val="0"/>
        <w:spacing w:line="440" w:lineRule="exact"/>
        <w:ind w:firstLine="562" w:firstLineChars="200"/>
        <w:rPr>
          <w:rFonts w:hint="eastAsia"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课程设置</w:t>
      </w:r>
    </w:p>
    <w:tbl>
      <w:tblPr>
        <w:tblStyle w:val="2"/>
        <w:tblW w:w="843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3"/>
        <w:gridCol w:w="4152"/>
        <w:gridCol w:w="1417"/>
        <w:gridCol w:w="141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443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模 块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培训内容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课时（天）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教学方法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党的理论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与党性教育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（1.5天）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</w:rPr>
              <w:t xml:space="preserve">1.学习贯彻党的二十大精神——学习习近平法治思想提升基层依法履职能力 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ind w:firstLine="105" w:firstLineChars="50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2.主题党日：“重温历史守初心 牢记使命践誓言”大连旅顺爱国主义教育基地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3.现场教学：参观庭审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体验式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税务执法技能模块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（2.5天）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1.建立法治思维 防范执法风险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2.精确税务行政处罚的“刚与柔”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3.税务行政执法争议案例及执法风险点分析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4.杜绝不作为乱作为，防范渎职风险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5.税务监管执法目的、手段与效果的平衡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" w:hRule="atLeas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税费业务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知识模块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模块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  <w:highlight w:val="yellow"/>
              </w:rPr>
            </w:pPr>
            <w:r>
              <w:rPr>
                <w:rFonts w:hint="eastAsia" w:ascii="仿宋" w:hAnsi="仿宋" w:eastAsia="仿宋"/>
                <w:b/>
              </w:rPr>
              <w:t>（1天）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1.偷税、虚开增值税专用发票案件的税法定性与刑法定性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2.</w:t>
            </w:r>
            <w:r>
              <w:rPr>
                <w:rFonts w:hint="eastAsia" w:ascii="仿宋" w:hAnsi="仿宋" w:eastAsia="仿宋"/>
              </w:rPr>
              <w:t>全税费种联动风险分析实战化演练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color w:val="000000"/>
                <w:szCs w:val="21"/>
              </w:rPr>
            </w:pPr>
            <w:r>
              <w:rPr>
                <w:rFonts w:hint="eastAsia" w:ascii="仿宋" w:hAnsi="仿宋" w:eastAsia="仿宋"/>
                <w:color w:val="000000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案例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bCs/>
                <w:color w:val="FF0000"/>
                <w:szCs w:val="21"/>
              </w:rPr>
            </w:pPr>
            <w:r>
              <w:rPr>
                <w:rFonts w:hint="eastAsia" w:ascii="仿宋" w:hAnsi="仿宋" w:eastAsia="仿宋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  <w:highlight w:val="yellow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3.税费相关知识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自学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公共法律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hint="eastAsia" w:ascii="仿宋" w:hAnsi="仿宋" w:eastAsia="仿宋"/>
                <w:b/>
              </w:rPr>
            </w:pPr>
            <w:r>
              <w:rPr>
                <w:rFonts w:hint="eastAsia" w:ascii="仿宋" w:hAnsi="仿宋" w:eastAsia="仿宋"/>
                <w:b/>
              </w:rPr>
              <w:t>知识模块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（2天）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1.宪法—国家立法权 行政权 监察权 司法权要义及解析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2.《民法典》与税收相关法律问题的研究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3.刑法—领导干部常见职务犯罪罪名解析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讲授式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4.研讨交流：如何提高基层执法人员精确执法的能力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0.5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研讨式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443" w:type="dxa"/>
            <w:vMerge w:val="restart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非课程环节模块</w:t>
            </w:r>
          </w:p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（3天）</w:t>
            </w: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1.休息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</w:t>
            </w:r>
          </w:p>
        </w:tc>
        <w:tc>
          <w:tcPr>
            <w:tcW w:w="1418" w:type="dxa"/>
            <w:noWrap w:val="0"/>
            <w:vAlign w:val="top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7" w:hRule="atLeast"/>
          <w:jc w:val="center"/>
        </w:trPr>
        <w:tc>
          <w:tcPr>
            <w:tcW w:w="1443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4152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2.报到、返程</w:t>
            </w:r>
          </w:p>
        </w:tc>
        <w:tc>
          <w:tcPr>
            <w:tcW w:w="1417" w:type="dxa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2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总务处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595" w:type="dxa"/>
            <w:gridSpan w:val="2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</w:rPr>
              <w:t>合计</w:t>
            </w:r>
          </w:p>
        </w:tc>
        <w:tc>
          <w:tcPr>
            <w:tcW w:w="2835" w:type="dxa"/>
            <w:gridSpan w:val="2"/>
            <w:noWrap w:val="0"/>
            <w:vAlign w:val="center"/>
          </w:tcPr>
          <w:p>
            <w:pPr>
              <w:autoSpaceDE w:val="0"/>
              <w:snapToGrid w:val="0"/>
              <w:spacing w:line="380" w:lineRule="exact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</w:rPr>
              <w:t>10</w:t>
            </w:r>
          </w:p>
        </w:tc>
      </w:tr>
    </w:tbl>
    <w:p>
      <w:pPr>
        <w:adjustRightInd w:val="0"/>
        <w:snapToGrid w:val="0"/>
        <w:spacing w:line="380" w:lineRule="exact"/>
        <w:rPr>
          <w:rFonts w:hint="eastAsia"/>
          <w:szCs w:val="21"/>
        </w:rPr>
      </w:pPr>
      <w:r>
        <w:t xml:space="preserve"> </w:t>
      </w:r>
    </w:p>
    <w:p>
      <w:pPr>
        <w:rPr>
          <w:rFonts w:hint="eastAsi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9F1314"/>
    <w:multiLevelType w:val="multilevel"/>
    <w:tmpl w:val="1D9F1314"/>
    <w:lvl w:ilvl="0" w:tentative="0">
      <w:start w:val="4"/>
      <w:numFmt w:val="chineseCounting"/>
      <w:suff w:val="nothing"/>
      <w:lvlText w:val="%1、"/>
      <w:lvlJc w:val="left"/>
      <w:pPr>
        <w:ind w:left="0" w:firstLine="0"/>
      </w:pPr>
      <w:rPr>
        <w:rFonts w:hint="eastAsia" w:ascii="宋体" w:hAnsi="宋体" w:eastAsia="宋体"/>
      </w:r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YxYTIzZWExZjVjYWMxZTMyNGVmODFjZDBkNWJkNzkifQ=="/>
  </w:docVars>
  <w:rsids>
    <w:rsidRoot w:val="00000000"/>
    <w:rsid w:val="45CD6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2023-12-26T12:32:11Z</dcterms:created>
  <dc:creator>dlglh</dc:creator>
  <cp:lastModifiedBy>顾</cp:lastModifiedBy>
  <dcterms:modified xsi:type="dcterms:W3CDTF">2023-12-26T12:32:34Z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FAFDE8E143C548BEA1FBC6A74901E7CC_12</vt:lpwstr>
  </property>
</Properties>
</file>