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税制改革背景下货劳税业务能力提升培训班</w:t>
      </w:r>
    </w:p>
    <w:bookmarkEnd w:id="0"/>
    <w:p>
      <w:pPr>
        <w:snapToGrid w:val="0"/>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党的二十届三中全会后新一轮税制改革既涉及增值税立法也涉及消费税征税环节后移等方面的内容。本项目将指导税务干部掌握最新的货劳税改革动向，解决货劳税工作中的重点、难点问题。</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一、培训对象</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货劳条线业务骨干以及与货劳税业务相关的税务干部</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二、培训目标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设计理念采用宏观加微观的课程框架，以货劳税税制改革为立足点，从增值税立法、消费税改革、申报表审核、数电票与增值税风险防控等教学内容入手，多层次、多角度、多维度地提高参训人员的货劳税业务能力，从而提升参训人员工作质效。</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三、培训时间</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在校培训时间共</w:t>
      </w:r>
      <w:r>
        <w:rPr>
          <w:rFonts w:ascii="仿宋" w:hAnsi="仿宋" w:eastAsia="仿宋" w:cs="仿宋"/>
          <w:sz w:val="28"/>
          <w:szCs w:val="28"/>
        </w:rPr>
        <w:t>9</w:t>
      </w:r>
      <w:r>
        <w:rPr>
          <w:rFonts w:hint="eastAsia" w:ascii="仿宋" w:hAnsi="仿宋" w:eastAsia="仿宋" w:cs="仿宋"/>
          <w:sz w:val="28"/>
          <w:szCs w:val="28"/>
        </w:rPr>
        <w:t>天，其中课程环节</w:t>
      </w:r>
      <w:r>
        <w:rPr>
          <w:rFonts w:ascii="仿宋" w:hAnsi="仿宋" w:eastAsia="仿宋" w:cs="仿宋"/>
          <w:sz w:val="28"/>
          <w:szCs w:val="28"/>
        </w:rPr>
        <w:t>7</w:t>
      </w:r>
      <w:r>
        <w:rPr>
          <w:rFonts w:hint="eastAsia" w:ascii="仿宋" w:hAnsi="仿宋" w:eastAsia="仿宋" w:cs="仿宋"/>
          <w:sz w:val="28"/>
          <w:szCs w:val="28"/>
        </w:rPr>
        <w:t>天，非课程环节</w:t>
      </w:r>
      <w:r>
        <w:rPr>
          <w:rFonts w:ascii="仿宋" w:hAnsi="仿宋" w:eastAsia="仿宋" w:cs="仿宋"/>
          <w:sz w:val="28"/>
          <w:szCs w:val="28"/>
        </w:rPr>
        <w:t>2</w:t>
      </w:r>
      <w:r>
        <w:rPr>
          <w:rFonts w:hint="eastAsia" w:ascii="仿宋" w:hAnsi="仿宋" w:eastAsia="仿宋" w:cs="仿宋"/>
          <w:sz w:val="28"/>
          <w:szCs w:val="28"/>
        </w:rPr>
        <w:t>天。</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886"/>
        <w:gridCol w:w="1200"/>
        <w:gridCol w:w="1211"/>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47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886" w:type="dxa"/>
            <w:tcBorders>
              <w:top w:val="single" w:color="auto" w:sz="12" w:space="0"/>
              <w:bottom w:val="single" w:color="auto" w:sz="6" w:space="0"/>
            </w:tcBorders>
            <w:vAlign w:val="center"/>
          </w:tcPr>
          <w:p>
            <w:pPr>
              <w:snapToGrid w:val="0"/>
              <w:spacing w:line="360" w:lineRule="exact"/>
              <w:ind w:firstLine="472" w:firstLineChars="196"/>
              <w:jc w:val="center"/>
              <w:rPr>
                <w:rFonts w:hint="eastAsia" w:ascii="仿宋" w:hAnsi="仿宋" w:eastAsia="仿宋" w:cs="仿宋"/>
                <w:b/>
                <w:sz w:val="24"/>
              </w:rPr>
            </w:pPr>
            <w:r>
              <w:rPr>
                <w:rFonts w:hint="eastAsia" w:ascii="仿宋" w:hAnsi="仿宋" w:eastAsia="仿宋" w:cs="仿宋"/>
                <w:b/>
                <w:sz w:val="24"/>
              </w:rPr>
              <w:t>培训内容</w:t>
            </w:r>
          </w:p>
        </w:tc>
        <w:tc>
          <w:tcPr>
            <w:tcW w:w="1200"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11" w:type="dxa"/>
            <w:tcBorders>
              <w:top w:val="single" w:color="auto" w:sz="12" w:space="0"/>
              <w:bottom w:val="single" w:color="auto" w:sz="6" w:space="0"/>
              <w:right w:val="single" w:color="auto" w:sz="4"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183" w:type="dxa"/>
            <w:tcBorders>
              <w:top w:val="single" w:color="auto" w:sz="12" w:space="0"/>
              <w:left w:val="single" w:color="auto" w:sz="4"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9" w:hRule="atLeast"/>
          <w:jc w:val="center"/>
        </w:trPr>
        <w:tc>
          <w:tcPr>
            <w:tcW w:w="1476" w:type="dxa"/>
            <w:vMerge w:val="restart"/>
            <w:tcBorders>
              <w:top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天）</w:t>
            </w:r>
          </w:p>
        </w:tc>
        <w:tc>
          <w:tcPr>
            <w:tcW w:w="3886" w:type="dxa"/>
            <w:tcBorders>
              <w:top w:val="single" w:color="auto" w:sz="6" w:space="0"/>
            </w:tcBorders>
          </w:tcPr>
          <w:p>
            <w:pPr>
              <w:spacing w:line="360" w:lineRule="exact"/>
              <w:jc w:val="left"/>
              <w:rPr>
                <w:rFonts w:hint="eastAsia" w:ascii="仿宋" w:hAnsi="仿宋" w:eastAsia="仿宋"/>
                <w:sz w:val="24"/>
              </w:rPr>
            </w:pPr>
            <w:r>
              <w:rPr>
                <w:rFonts w:ascii="仿宋" w:hAnsi="仿宋" w:eastAsia="仿宋"/>
                <w:sz w:val="24"/>
              </w:rPr>
              <w:t>1.党的理论与党性教育相关课程</w:t>
            </w:r>
          </w:p>
        </w:tc>
        <w:tc>
          <w:tcPr>
            <w:tcW w:w="1200" w:type="dxa"/>
            <w:tcBorders>
              <w:top w:val="single" w:color="auto" w:sz="6" w:space="0"/>
            </w:tcBorders>
            <w:vAlign w:val="center"/>
          </w:tcPr>
          <w:p>
            <w:pPr>
              <w:snapToGrid w:val="0"/>
              <w:jc w:val="center"/>
              <w:rPr>
                <w:rFonts w:hint="eastAsia" w:ascii="仿宋" w:hAnsi="仿宋" w:eastAsia="仿宋"/>
                <w:sz w:val="24"/>
              </w:rPr>
            </w:pPr>
            <w:r>
              <w:rPr>
                <w:rFonts w:ascii="仿宋" w:hAnsi="仿宋" w:eastAsia="仿宋"/>
                <w:sz w:val="24"/>
              </w:rPr>
              <w:t>0.5</w:t>
            </w:r>
          </w:p>
        </w:tc>
        <w:tc>
          <w:tcPr>
            <w:tcW w:w="1211" w:type="dxa"/>
            <w:tcBorders>
              <w:top w:val="single" w:color="auto" w:sz="6" w:space="0"/>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top w:val="single" w:color="auto" w:sz="6" w:space="0"/>
              <w:left w:val="single" w:color="auto" w:sz="4" w:space="0"/>
            </w:tcBorders>
            <w:vAlign w:val="center"/>
          </w:tcPr>
          <w:p>
            <w:pPr>
              <w:snapToGrid w:val="0"/>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476" w:type="dxa"/>
            <w:vMerge w:val="continue"/>
            <w:vAlign w:val="center"/>
          </w:tcPr>
          <w:p>
            <w:pPr>
              <w:snapToGrid w:val="0"/>
              <w:spacing w:line="360" w:lineRule="exact"/>
              <w:jc w:val="center"/>
              <w:rPr>
                <w:rFonts w:hint="eastAsia" w:ascii="仿宋" w:hAnsi="仿宋" w:eastAsia="仿宋" w:cs="仿宋"/>
                <w:b/>
                <w:sz w:val="24"/>
              </w:rPr>
            </w:pPr>
          </w:p>
        </w:tc>
        <w:tc>
          <w:tcPr>
            <w:tcW w:w="3886" w:type="dxa"/>
            <w:vAlign w:val="center"/>
          </w:tcPr>
          <w:p>
            <w:pPr>
              <w:spacing w:line="360" w:lineRule="exact"/>
              <w:rPr>
                <w:rFonts w:hint="eastAsia" w:ascii="仿宋" w:hAnsi="仿宋" w:eastAsia="仿宋"/>
                <w:sz w:val="24"/>
              </w:rPr>
            </w:pPr>
            <w:r>
              <w:rPr>
                <w:rFonts w:ascii="仿宋" w:hAnsi="仿宋" w:eastAsia="仿宋"/>
                <w:sz w:val="24"/>
              </w:rPr>
              <w:t>2.主题党日活动</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1476"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6</w:t>
            </w:r>
            <w:r>
              <w:rPr>
                <w:rFonts w:hint="eastAsia" w:ascii="仿宋" w:hAnsi="仿宋" w:eastAsia="仿宋" w:cs="仿宋"/>
                <w:b/>
                <w:sz w:val="24"/>
              </w:rPr>
              <w:t>天）</w:t>
            </w:r>
          </w:p>
        </w:tc>
        <w:tc>
          <w:tcPr>
            <w:tcW w:w="3886" w:type="dxa"/>
          </w:tcPr>
          <w:p>
            <w:pPr>
              <w:spacing w:line="360" w:lineRule="exact"/>
              <w:ind w:left="240" w:hanging="240" w:hangingChars="100"/>
              <w:jc w:val="left"/>
              <w:rPr>
                <w:rFonts w:hint="eastAsia" w:ascii="仿宋" w:hAnsi="仿宋" w:eastAsia="仿宋"/>
                <w:sz w:val="24"/>
              </w:rPr>
            </w:pPr>
            <w:r>
              <w:rPr>
                <w:rFonts w:ascii="仿宋" w:hAnsi="仿宋" w:eastAsia="仿宋"/>
                <w:sz w:val="24"/>
              </w:rPr>
              <w:t>1.</w:t>
            </w:r>
            <w:r>
              <w:rPr>
                <w:rFonts w:hint="eastAsia" w:ascii="仿宋" w:hAnsi="仿宋" w:eastAsia="仿宋"/>
                <w:sz w:val="24"/>
              </w:rPr>
              <w:t>增值税立法进程及与现行制度的衔接</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1</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2.</w:t>
            </w:r>
            <w:r>
              <w:rPr>
                <w:rFonts w:hint="eastAsia" w:ascii="仿宋" w:hAnsi="仿宋" w:eastAsia="仿宋"/>
                <w:sz w:val="24"/>
              </w:rPr>
              <w:t>消费税税制改革及与现行制度的衔接</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增值税及附加税费申报表涉税风险分析</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1</w:t>
            </w:r>
          </w:p>
        </w:tc>
        <w:tc>
          <w:tcPr>
            <w:tcW w:w="1211" w:type="dxa"/>
            <w:tcBorders>
              <w:right w:val="single" w:color="auto" w:sz="4" w:space="0"/>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4.</w:t>
            </w:r>
            <w:r>
              <w:rPr>
                <w:rFonts w:hint="eastAsia" w:ascii="仿宋" w:hAnsi="仿宋" w:eastAsia="仿宋"/>
                <w:sz w:val="24"/>
              </w:rPr>
              <w:t>消费税及附加税费申报表涉税风险分析</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5.</w:t>
            </w:r>
            <w:r>
              <w:rPr>
                <w:rFonts w:hint="eastAsia" w:ascii="仿宋" w:hAnsi="仿宋" w:eastAsia="仿宋"/>
                <w:sz w:val="24"/>
              </w:rPr>
              <w:t>增值税“反向开票”政策及风险管理</w:t>
            </w:r>
            <w:r>
              <w:rPr>
                <w:rFonts w:ascii="仿宋" w:hAnsi="仿宋" w:eastAsia="仿宋"/>
                <w:sz w:val="24"/>
              </w:rPr>
              <w:t>  </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6.</w:t>
            </w:r>
            <w:r>
              <w:rPr>
                <w:rFonts w:hint="eastAsia" w:ascii="仿宋" w:hAnsi="仿宋" w:eastAsia="仿宋"/>
                <w:sz w:val="24"/>
              </w:rPr>
              <w:t>车辆购置税政策及风险管理</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napToGrid w:val="0"/>
              <w:spacing w:line="360" w:lineRule="exact"/>
              <w:rPr>
                <w:rFonts w:hint="eastAsia" w:ascii="仿宋" w:hAnsi="仿宋" w:eastAsia="仿宋"/>
                <w:sz w:val="24"/>
              </w:rPr>
            </w:pPr>
            <w:r>
              <w:rPr>
                <w:rFonts w:ascii="仿宋" w:hAnsi="仿宋" w:eastAsia="仿宋"/>
                <w:sz w:val="24"/>
              </w:rPr>
              <w:t>7.</w:t>
            </w:r>
            <w:r>
              <w:rPr>
                <w:rFonts w:hint="eastAsia" w:ascii="仿宋" w:hAnsi="仿宋" w:eastAsia="仿宋"/>
                <w:sz w:val="24"/>
              </w:rPr>
              <w:t>数电发票“一体式”风险防控</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tcPr>
          <w:p>
            <w:pPr>
              <w:spacing w:line="360" w:lineRule="exact"/>
              <w:jc w:val="left"/>
              <w:rPr>
                <w:rFonts w:hint="eastAsia" w:ascii="仿宋" w:hAnsi="仿宋" w:eastAsia="仿宋"/>
                <w:sz w:val="24"/>
              </w:rPr>
            </w:pPr>
            <w:r>
              <w:rPr>
                <w:rFonts w:ascii="仿宋" w:hAnsi="仿宋" w:eastAsia="仿宋"/>
                <w:sz w:val="24"/>
              </w:rPr>
              <w:t>8.</w:t>
            </w:r>
            <w:r>
              <w:rPr>
                <w:rFonts w:hint="eastAsia" w:ascii="仿宋" w:hAnsi="仿宋" w:eastAsia="仿宋"/>
                <w:sz w:val="24"/>
              </w:rPr>
              <w:t>增值税风险应对实战化演练</w:t>
            </w:r>
          </w:p>
        </w:tc>
        <w:tc>
          <w:tcPr>
            <w:tcW w:w="1200"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外聘教师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vAlign w:val="center"/>
          </w:tcPr>
          <w:p>
            <w:pPr>
              <w:snapToGrid w:val="0"/>
              <w:spacing w:line="360" w:lineRule="exact"/>
              <w:rPr>
                <w:rFonts w:hint="eastAsia" w:ascii="仿宋" w:hAnsi="仿宋" w:eastAsia="仿宋"/>
                <w:sz w:val="24"/>
              </w:rPr>
            </w:pPr>
            <w:r>
              <w:rPr>
                <w:rFonts w:ascii="仿宋" w:hAnsi="仿宋" w:eastAsia="仿宋"/>
                <w:sz w:val="24"/>
              </w:rPr>
              <w:t>9.</w:t>
            </w:r>
            <w:r>
              <w:rPr>
                <w:rFonts w:hint="eastAsia" w:ascii="仿宋" w:hAnsi="仿宋" w:eastAsia="仿宋" w:cs="仿宋"/>
                <w:sz w:val="24"/>
              </w:rPr>
              <w:t>研讨交流：</w:t>
            </w:r>
            <w:r>
              <w:rPr>
                <w:rFonts w:hint="eastAsia" w:ascii="仿宋" w:hAnsi="仿宋" w:eastAsia="仿宋"/>
                <w:sz w:val="24"/>
              </w:rPr>
              <w:t>货劳税改革的难点以及对策</w:t>
            </w:r>
          </w:p>
        </w:tc>
        <w:tc>
          <w:tcPr>
            <w:tcW w:w="1200"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886" w:type="dxa"/>
            <w:vAlign w:val="center"/>
          </w:tcPr>
          <w:p>
            <w:pPr>
              <w:snapToGrid w:val="0"/>
              <w:spacing w:line="360" w:lineRule="exact"/>
              <w:rPr>
                <w:rFonts w:hint="eastAsia" w:ascii="仿宋" w:hAnsi="仿宋" w:eastAsia="仿宋"/>
                <w:sz w:val="24"/>
              </w:rPr>
            </w:pPr>
            <w:r>
              <w:rPr>
                <w:rFonts w:hint="eastAsia" w:ascii="仿宋" w:hAnsi="仿宋" w:eastAsia="仿宋"/>
                <w:sz w:val="24"/>
              </w:rPr>
              <w:t>10.充分发挥税收在国家治理中的功能作用</w:t>
            </w:r>
          </w:p>
        </w:tc>
        <w:tc>
          <w:tcPr>
            <w:tcW w:w="1200"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11"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学习兴税——标课</w:t>
            </w:r>
          </w:p>
        </w:tc>
        <w:tc>
          <w:tcPr>
            <w:tcW w:w="1183"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1476"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r>
              <w:rPr>
                <w:rFonts w:ascii="仿宋" w:hAnsi="仿宋" w:eastAsia="仿宋" w:cs="仿宋"/>
                <w:b/>
                <w:sz w:val="24"/>
              </w:rPr>
              <w:t>2</w:t>
            </w:r>
            <w:r>
              <w:rPr>
                <w:rFonts w:hint="eastAsia" w:ascii="仿宋" w:hAnsi="仿宋" w:eastAsia="仿宋" w:cs="仿宋"/>
                <w:b/>
                <w:sz w:val="24"/>
              </w:rPr>
              <w:t>天）</w:t>
            </w:r>
          </w:p>
        </w:tc>
        <w:tc>
          <w:tcPr>
            <w:tcW w:w="3886" w:type="dxa"/>
            <w:vAlign w:val="center"/>
          </w:tcPr>
          <w:p>
            <w:pPr>
              <w:snapToGrid w:val="0"/>
              <w:spacing w:line="360" w:lineRule="exact"/>
              <w:rPr>
                <w:rFonts w:hint="eastAsia" w:ascii="仿宋" w:hAnsi="仿宋" w:eastAsia="仿宋"/>
                <w:sz w:val="24"/>
              </w:rPr>
            </w:pPr>
            <w:r>
              <w:rPr>
                <w:rFonts w:ascii="仿宋" w:hAnsi="仿宋" w:eastAsia="仿宋"/>
                <w:sz w:val="24"/>
              </w:rPr>
              <w:t>1.</w:t>
            </w:r>
            <w:r>
              <w:rPr>
                <w:rFonts w:hint="eastAsia" w:ascii="仿宋" w:hAnsi="仿宋" w:eastAsia="仿宋"/>
                <w:sz w:val="24"/>
              </w:rPr>
              <w:t>报到、返程</w:t>
            </w:r>
          </w:p>
        </w:tc>
        <w:tc>
          <w:tcPr>
            <w:tcW w:w="1200" w:type="dxa"/>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2</w:t>
            </w:r>
          </w:p>
        </w:tc>
        <w:tc>
          <w:tcPr>
            <w:tcW w:w="1211"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183" w:type="dxa"/>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5362" w:type="dxa"/>
            <w:gridSpan w:val="2"/>
            <w:tcBorders>
              <w:bottom w:val="single" w:color="auto" w:sz="12" w:space="0"/>
            </w:tcBorders>
          </w:tcPr>
          <w:p>
            <w:pPr>
              <w:snapToGrid w:val="0"/>
              <w:spacing w:line="360" w:lineRule="exact"/>
              <w:jc w:val="center"/>
              <w:rPr>
                <w:rFonts w:hint="eastAsia" w:ascii="仿宋" w:hAnsi="仿宋" w:eastAsia="仿宋" w:cs="仿宋"/>
                <w:sz w:val="24"/>
              </w:rPr>
            </w:pPr>
            <w:r>
              <w:rPr>
                <w:rFonts w:hint="eastAsia" w:ascii="仿宋" w:hAnsi="仿宋" w:eastAsia="仿宋" w:cs="仿宋"/>
                <w:b/>
                <w:bCs/>
                <w:sz w:val="24"/>
              </w:rPr>
              <w:t>合计</w:t>
            </w:r>
          </w:p>
        </w:tc>
        <w:tc>
          <w:tcPr>
            <w:tcW w:w="3594" w:type="dxa"/>
            <w:gridSpan w:val="3"/>
            <w:tcBorders>
              <w:bottom w:val="single" w:color="auto" w:sz="12" w:space="0"/>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9</w:t>
            </w:r>
          </w:p>
        </w:tc>
      </w:tr>
    </w:tbl>
    <w:p>
      <w:pPr>
        <w:snapToGrid w:val="0"/>
        <w:spacing w:line="360" w:lineRule="auto"/>
        <w:rPr>
          <w:rFonts w:hint="eastAsia" w:ascii="仿宋" w:hAnsi="仿宋" w:eastAsia="仿宋" w:cs="仿宋"/>
          <w:sz w:val="32"/>
          <w:szCs w:val="32"/>
        </w:rPr>
      </w:pPr>
    </w:p>
    <w:p>
      <w:pPr>
        <w:rPr>
          <w:rFonts w:hint="eastAsia" w:ascii="黑体" w:hAnsi="黑体" w:eastAsia="黑体"/>
          <w:sz w:val="32"/>
          <w:szCs w:val="32"/>
        </w:rPr>
      </w:pPr>
      <w:r>
        <w:rPr>
          <w:rFonts w:hint="eastAsia" w:ascii="黑体" w:hAnsi="黑体" w:eastAsia="黑体"/>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6E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2025-01-06T07:32:01Z</dcterms:created>
  <dc:creator>Administrator</dc:creator>
  <cp:lastModifiedBy>Administrator</cp:lastModifiedBy>
  <dcterms:modified xsi:type="dcterms:W3CDTF">2025-01-06T07:32:27Z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