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ind w:firstLine="2080" w:firstLineChars="650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税务系统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hint="eastAsia" w:ascii="黑体" w:hAnsi="黑体" w:eastAsia="黑体" w:cs="仿宋"/>
          <w:sz w:val="32"/>
          <w:szCs w:val="32"/>
        </w:rPr>
        <w:t>效能提升培训班</w:t>
      </w:r>
    </w:p>
    <w:bookmarkEnd w:id="0"/>
    <w:p>
      <w:pPr>
        <w:adjustRightInd w:val="0"/>
        <w:snapToGrid w:val="0"/>
        <w:spacing w:after="156" w:afterLines="50" w:line="440" w:lineRule="exact"/>
        <w:ind w:firstLine="3360" w:firstLineChars="105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项目计划书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国务院关于进一步优化政务服务、提升行政效能有关指导意见，对税务机关推进“效能税务”建设提出必然要求。</w:t>
      </w:r>
      <w:r>
        <w:rPr>
          <w:rFonts w:ascii="仿宋" w:hAnsi="仿宋" w:eastAsia="仿宋"/>
          <w:sz w:val="28"/>
          <w:szCs w:val="28"/>
        </w:rPr>
        <w:t>税务部门</w:t>
      </w:r>
      <w:r>
        <w:rPr>
          <w:rFonts w:hint="eastAsia" w:ascii="仿宋" w:hAnsi="仿宋" w:eastAsia="仿宋"/>
          <w:sz w:val="28"/>
          <w:szCs w:val="28"/>
        </w:rPr>
        <w:t>必须</w:t>
      </w:r>
      <w:r>
        <w:rPr>
          <w:rFonts w:ascii="仿宋" w:hAnsi="仿宋" w:eastAsia="仿宋"/>
          <w:sz w:val="28"/>
          <w:szCs w:val="28"/>
        </w:rPr>
        <w:t>维护中央权威、确保政令畅通</w:t>
      </w:r>
      <w:r>
        <w:rPr>
          <w:rFonts w:hint="eastAsia" w:ascii="仿宋" w:hAnsi="仿宋" w:eastAsia="仿宋"/>
          <w:sz w:val="28"/>
          <w:szCs w:val="28"/>
        </w:rPr>
        <w:t>，积极推进“依法治税”“以数治税”“从严治税”</w:t>
      </w:r>
      <w:r>
        <w:rPr>
          <w:rFonts w:ascii="仿宋" w:hAnsi="仿宋" w:eastAsia="仿宋" w:cs="仿宋"/>
          <w:sz w:val="28"/>
          <w:szCs w:val="28"/>
        </w:rPr>
        <w:t>，在更好履行部门职责、服务高质量发展中展现税务担当</w:t>
      </w:r>
      <w:r>
        <w:rPr>
          <w:rFonts w:hint="eastAsia" w:ascii="仿宋" w:hAnsi="仿宋" w:eastAsia="仿宋" w:cs="仿宋"/>
          <w:sz w:val="28"/>
          <w:szCs w:val="28"/>
        </w:rPr>
        <w:t>。基于此，策划本期培训班。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一、培训对象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税务机关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业务骨干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zh-CN"/>
        </w:rPr>
        <w:t>二、培训目标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zh-CN"/>
        </w:rPr>
        <w:t>本项目以习近平新时代中国特色社会主义思想为指引，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以提高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行政效能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为目标</w:t>
      </w:r>
      <w:r>
        <w:rPr>
          <w:rFonts w:hint="eastAsia" w:ascii="仿宋" w:hAnsi="仿宋" w:eastAsia="仿宋"/>
          <w:sz w:val="28"/>
          <w:szCs w:val="28"/>
          <w:lang w:val="zh-CN"/>
        </w:rPr>
        <w:t>，</w:t>
      </w:r>
      <w:r>
        <w:rPr>
          <w:rFonts w:hint="eastAsia" w:ascii="仿宋" w:hAnsi="仿宋" w:eastAsia="仿宋"/>
          <w:sz w:val="28"/>
          <w:szCs w:val="28"/>
        </w:rPr>
        <w:t>使学员通过利用信息化技术手段在精准监管、精确执法、精细服务、精诚共治等工作中提高工作效能，提升工作质效。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三、培训时间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在校培训时间共7天，其中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5天，非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2天。</w:t>
      </w:r>
    </w:p>
    <w:p>
      <w:pPr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四、课程设置</w:t>
      </w:r>
    </w:p>
    <w:tbl>
      <w:tblPr>
        <w:tblStyle w:val="2"/>
        <w:tblW w:w="94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940"/>
        <w:gridCol w:w="1241"/>
        <w:gridCol w:w="1635"/>
        <w:gridCol w:w="12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34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94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635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10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1.党的理论与党性教育相关课程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2.主题党日活动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（3.5天）</w:t>
            </w: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1.坚持以习近平法治思想为指导，深入推进税务机关依法行政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突破心智模式 实现管理创新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3.提升税务干部治理能力 推动效能税务机关建设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4.大数据、人工智能、云计算、区块链等信息化前沿技术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5.以数据驱动，推进税费服务精细化、智能化发展</w:t>
            </w:r>
            <w:r>
              <w:rPr>
                <w:rFonts w:ascii="Calibri" w:hAnsi="Calibri" w:eastAsia="仿宋" w:cs="Calibri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6.精通 WPS 应用，赋能“以数治税”新效能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94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7.研讨交流：提高行政效能，推动“效能税务”建设的经验交流</w:t>
            </w:r>
          </w:p>
        </w:tc>
        <w:tc>
          <w:tcPr>
            <w:tcW w:w="124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94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1.报到、返程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21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7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合计</w:t>
            </w:r>
          </w:p>
        </w:tc>
        <w:tc>
          <w:tcPr>
            <w:tcW w:w="4086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B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2025-01-06T08:25:47Z</dcterms:created>
  <dc:creator>Administrator</dc:creator>
  <cp:lastModifiedBy>Administrator</cp:lastModifiedBy>
  <dcterms:modified xsi:type="dcterms:W3CDTF">2025-01-06T08:26:01Z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