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建筑安装业税收风险分析与防范业务提升培训班</w:t>
      </w:r>
    </w:p>
    <w:p>
      <w:pPr>
        <w:tabs>
          <w:tab w:val="left" w:pos="3233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筑安装业生产流程独特，财税政策复杂，税收监管难度大。随着征管改革的推进，对该行业精准监管要求不断提高。为适应税收工作的新形势、新要求，规避执法风险，提振税务干部行业监管的信心和水平，依托本校区优质教学资源，策划本期培训班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税源管理、税收风险应对人员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通过培训，使学员熟悉建筑安装业会计核算，掌握行业增值税、企业所得税、财产行为税、数电发票等相关知识；通过行业纳税评估案例，综合运用相关税费政策，切实提升行业风险管理能力和水平。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培训时间共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天，其中课程环节5.5天，非课程环节2.5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tbl>
      <w:tblPr>
        <w:tblStyle w:val="3"/>
        <w:tblW w:w="8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3521"/>
        <w:gridCol w:w="1560"/>
        <w:gridCol w:w="13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 块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培训内容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课时（天）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党的理论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与党性教育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（1.5天）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1.以新发展理念促进经济高质量发展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2.弘扬党的三大作风推进税务系统作风建设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3.现场教学：党建创新促发展 共筑营商新环境——高新园区税务局“税政企银学”党建创新联盟创新落实“纵合横通强党建”机制制度体系——高新区嘉创大厦芝倪集团众创空间参观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核心业务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</w:t>
            </w:r>
            <w:r>
              <w:rPr>
                <w:rFonts w:ascii="仿宋" w:hAnsi="仿宋" w:eastAsia="仿宋" w:cs="仿宋"/>
                <w:b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天）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1.建筑安装业增值税风险分析与防范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2.建筑安装业企业所得税风险分析与防范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3.建筑安装业财产行为税风险分析与防范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4.建筑安装业个人所得税政策解析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5.重点行业纳税评估——建筑安装业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Cs w:val="21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6.金税四期建设与数字化电子发票应用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</w:t>
            </w:r>
            <w:r>
              <w:rPr>
                <w:rFonts w:ascii="仿宋" w:hAnsi="仿宋" w:eastAsia="仿宋" w:cs="仿宋"/>
                <w:szCs w:val="21"/>
              </w:rPr>
              <w:t>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7.建筑安装企业全流程会计核算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8.研讨交流：建筑安装业税务风险防范经验交流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90" w:type="dxa"/>
            <w:vMerge w:val="restart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非课程环节模块</w:t>
            </w:r>
          </w:p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（2.5天）</w:t>
            </w: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1.报到、返程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1369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790" w:type="dxa"/>
            <w:vMerge w:val="continue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3521" w:type="dxa"/>
            <w:noWrap w:val="0"/>
            <w:vAlign w:val="center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2.休息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0.5</w:t>
            </w:r>
          </w:p>
        </w:tc>
        <w:tc>
          <w:tcPr>
            <w:tcW w:w="1369" w:type="dxa"/>
            <w:noWrap w:val="0"/>
            <w:vAlign w:val="top"/>
          </w:tcPr>
          <w:p>
            <w:pPr>
              <w:snapToGrid w:val="0"/>
              <w:spacing w:line="380" w:lineRule="exact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1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szCs w:val="21"/>
              </w:rPr>
              <w:t>合   计</w:t>
            </w:r>
          </w:p>
        </w:tc>
        <w:tc>
          <w:tcPr>
            <w:tcW w:w="2929" w:type="dxa"/>
            <w:gridSpan w:val="2"/>
            <w:noWrap w:val="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ascii="仿宋" w:hAnsi="仿宋" w:eastAsia="仿宋" w:cs="仿宋"/>
                <w:szCs w:val="21"/>
              </w:rPr>
              <w:t>8</w:t>
            </w:r>
          </w:p>
        </w:tc>
      </w:tr>
    </w:tbl>
    <w:p>
      <w:pPr>
        <w:adjustRightInd w:val="0"/>
        <w:snapToGrid w:val="0"/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09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18C256E8"/>
    <w:rsid w:val="69E37B27"/>
    <w:rsid w:val="6AC10D19"/>
    <w:rsid w:val="7DBB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2023-12-26T07:44:00Z</dcterms:created>
  <dc:creator>dlglh</dc:creator>
  <cp:lastModifiedBy>顾</cp:lastModifiedBy>
  <dcterms:modified xsi:type="dcterms:W3CDTF">2023-12-26T14:30:23Z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7D66DA62EA774C1D97A8B2DA17B21153_12</vt:lpwstr>
  </property>
</Properties>
</file>