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财会监督视角下财务管理业务提升培训班</w:t>
      </w:r>
    </w:p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财务管理是机关管理的重要组成部分，是规范单位经济活动和社会经济秩序的重要手段，是依法理财、提高资金效益、建设高效节约型机关的必然要求，也是从源头上预防腐败的重要措施。税务系统财务管理也为深入推进精确执法、精细服务、精准监管、精诚共治提供了坚实可靠的财务保障。干部是财务政策、财务行为的制定者和执行者，他们的素质和能力直接关系到财务法规政策有效落实的质量，直接影响着单位财务管理水平的高低。本项目通过政策梳理、夯实基础、审计视角、问题导向提升财务管理能力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税务系统各级税务机关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从事</w:t>
      </w:r>
      <w:r>
        <w:rPr>
          <w:rFonts w:hint="eastAsia" w:ascii="仿宋" w:hAnsi="仿宋" w:eastAsia="仿宋" w:cs="仿宋"/>
          <w:sz w:val="28"/>
          <w:szCs w:val="28"/>
        </w:rPr>
        <w:t>财务管理、督查内审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等工作的业务骨干。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、培训目标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本项目以习近平强</w:t>
      </w:r>
      <w:r>
        <w:rPr>
          <w:rFonts w:hint="eastAsia" w:ascii="仿宋" w:hAnsi="仿宋" w:eastAsia="仿宋" w:cs="仿宋"/>
          <w:sz w:val="28"/>
          <w:szCs w:val="28"/>
        </w:rPr>
        <w:t>总书记强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调要完善党和国家监督体系</w:t>
      </w:r>
      <w:r>
        <w:rPr>
          <w:rFonts w:hint="eastAsia" w:ascii="仿宋" w:hAnsi="仿宋" w:eastAsia="仿宋" w:cs="仿宋"/>
          <w:sz w:val="28"/>
          <w:szCs w:val="28"/>
        </w:rPr>
        <w:t>的讲话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为指引，深入学习中共中央办公厅、国务院办公厅印发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《关于进一步加强财会监督工作的意见》，按照《</w:t>
      </w:r>
      <w:r>
        <w:rPr>
          <w:rFonts w:hint="eastAsia" w:ascii="仿宋" w:hAnsi="仿宋" w:eastAsia="仿宋" w:cs="仿宋"/>
          <w:sz w:val="28"/>
          <w:szCs w:val="28"/>
        </w:rPr>
        <w:t>会计法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》《</w:t>
      </w:r>
      <w:r>
        <w:rPr>
          <w:rFonts w:hint="eastAsia" w:ascii="仿宋" w:hAnsi="仿宋" w:eastAsia="仿宋" w:cs="仿宋"/>
          <w:sz w:val="28"/>
          <w:szCs w:val="28"/>
        </w:rPr>
        <w:t>预算法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》《</w:t>
      </w:r>
      <w:r>
        <w:rPr>
          <w:rFonts w:hint="eastAsia" w:ascii="仿宋" w:hAnsi="仿宋" w:eastAsia="仿宋" w:cs="仿宋"/>
          <w:sz w:val="28"/>
          <w:szCs w:val="28"/>
        </w:rPr>
        <w:t>行政事业性国有资产管理条例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》《</w:t>
      </w:r>
      <w:r>
        <w:rPr>
          <w:rFonts w:hint="eastAsia" w:ascii="仿宋" w:hAnsi="仿宋" w:eastAsia="仿宋" w:cs="仿宋"/>
          <w:sz w:val="28"/>
          <w:szCs w:val="28"/>
        </w:rPr>
        <w:t>行政单位财务规则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》《</w:t>
      </w:r>
      <w:r>
        <w:rPr>
          <w:rFonts w:hint="eastAsia" w:ascii="仿宋" w:hAnsi="仿宋" w:eastAsia="仿宋" w:cs="仿宋"/>
          <w:sz w:val="28"/>
          <w:szCs w:val="28"/>
        </w:rPr>
        <w:t>税务系统会计制度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》等</w:t>
      </w:r>
      <w:r>
        <w:rPr>
          <w:rFonts w:hint="eastAsia" w:ascii="仿宋" w:hAnsi="仿宋" w:eastAsia="仿宋" w:cs="仿宋"/>
          <w:sz w:val="28"/>
          <w:szCs w:val="28"/>
        </w:rPr>
        <w:t>税务系统内部和外部的各项财经法规政策规定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，综合运用研讨式、讲授式、案例式等多种教学形式，帮助学员切实提升</w:t>
      </w:r>
      <w:r>
        <w:rPr>
          <w:rFonts w:hint="eastAsia" w:ascii="仿宋" w:hAnsi="仿宋" w:eastAsia="仿宋" w:cs="仿宋"/>
          <w:sz w:val="28"/>
          <w:szCs w:val="28"/>
        </w:rPr>
        <w:t>财务管理能力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、培训时间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在校培训时间共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天，其中</w:t>
      </w:r>
      <w:r>
        <w:rPr>
          <w:rFonts w:hint="eastAsia" w:ascii="仿宋" w:hAnsi="仿宋" w:eastAsia="仿宋" w:cs="仿宋"/>
          <w:sz w:val="28"/>
          <w:szCs w:val="28"/>
        </w:rPr>
        <w:t>课程环节5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天，</w:t>
      </w:r>
      <w:r>
        <w:rPr>
          <w:rFonts w:hint="eastAsia" w:ascii="仿宋" w:hAnsi="仿宋" w:eastAsia="仿宋" w:cs="仿宋"/>
          <w:sz w:val="28"/>
          <w:szCs w:val="28"/>
        </w:rPr>
        <w:t>非课程环节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2天。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课程设置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tbl>
      <w:tblPr>
        <w:tblStyle w:val="3"/>
        <w:tblW w:w="89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571"/>
        <w:gridCol w:w="1242"/>
        <w:gridCol w:w="1253"/>
        <w:gridCol w:w="1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模 块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培训内容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课时（天）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拟聘师资</w:t>
            </w:r>
          </w:p>
        </w:tc>
        <w:tc>
          <w:tcPr>
            <w:tcW w:w="1307" w:type="dxa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94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党的理论与党性教育</w:t>
            </w:r>
          </w:p>
          <w:p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（1.5天）</w:t>
            </w:r>
          </w:p>
        </w:tc>
        <w:tc>
          <w:tcPr>
            <w:tcW w:w="3571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1.党的理论与党性教育相关课程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2.主题党日活动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94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（3.5天）</w:t>
            </w:r>
          </w:p>
        </w:tc>
        <w:tc>
          <w:tcPr>
            <w:tcW w:w="3571" w:type="dxa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1.加强财会监督  规范财务行为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校内教师</w:t>
            </w:r>
          </w:p>
        </w:tc>
        <w:tc>
          <w:tcPr>
            <w:tcW w:w="1307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2.从审计发现问题视角看部门预算管理及风险防范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校内教师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3.从审计发现问题视角看国库集中收付管理风险及防范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4.从审计发现问题视角看资产管理风险及防范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校内教师</w:t>
            </w:r>
          </w:p>
        </w:tc>
        <w:tc>
          <w:tcPr>
            <w:tcW w:w="1307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案例式</w:t>
            </w:r>
          </w:p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5.从审计发现问题视角看税务系统政府采购风险及防范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校内教师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6.税务系统会计核算指引讲解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校内教师</w:t>
            </w:r>
          </w:p>
        </w:tc>
        <w:tc>
          <w:tcPr>
            <w:tcW w:w="1307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pStyle w:val="5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240" w:afterAutospacing="0" w:line="340" w:lineRule="exac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7.巡视发现财务管理问题梳理及案例讲解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外聘教师</w:t>
            </w:r>
          </w:p>
        </w:tc>
        <w:tc>
          <w:tcPr>
            <w:tcW w:w="1307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1.报到、返程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6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  <w:t>合计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  <w:t>7</w:t>
            </w:r>
          </w:p>
        </w:tc>
      </w:tr>
    </w:tbl>
    <w:p>
      <w:pPr>
        <w:spacing w:line="440" w:lineRule="exact"/>
        <w:ind w:firstLine="420" w:firstLineChars="200"/>
        <w:rPr>
          <w:rFonts w:hint="eastAsia" w:ascii="宋体" w:hAnsi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5">
    <w:name w:val="No Spacing"/>
    <w:qFormat/>
    <w:uiPriority w:val="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2025-01-06T08:28:33Z</dcterms:created>
  <dc:creator>Administrator</dc:creator>
  <cp:lastModifiedBy>Administrator</cp:lastModifiedBy>
  <dcterms:modified xsi:type="dcterms:W3CDTF">2025-01-06T08:28:47Z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