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黑体" w:hAnsi="黑体" w:eastAsia="黑体"/>
          <w:sz w:val="32"/>
          <w:szCs w:val="32"/>
        </w:rPr>
      </w:pPr>
      <w:bookmarkStart w:id="0" w:name="_GoBack"/>
      <w:r>
        <w:rPr>
          <w:rFonts w:hint="eastAsia" w:ascii="黑体" w:hAnsi="黑体" w:eastAsia="黑体"/>
          <w:sz w:val="32"/>
          <w:szCs w:val="32"/>
        </w:rPr>
        <w:t>以智慧税务推动财产行为税监管水平提升培训班</w:t>
      </w:r>
    </w:p>
    <w:bookmarkEnd w:id="0"/>
    <w:p>
      <w:pPr>
        <w:snapToGrid w:val="0"/>
        <w:spacing w:after="156" w:afterLines="50" w:line="360" w:lineRule="auto"/>
        <w:jc w:val="center"/>
        <w:rPr>
          <w:rFonts w:hint="eastAsia" w:ascii="黑体" w:hAnsi="黑体" w:eastAsia="黑体"/>
          <w:sz w:val="32"/>
          <w:szCs w:val="32"/>
        </w:rPr>
      </w:pPr>
      <w:r>
        <w:rPr>
          <w:rFonts w:hint="eastAsia" w:ascii="黑体" w:hAnsi="黑体" w:eastAsia="黑体"/>
          <w:sz w:val="32"/>
          <w:szCs w:val="32"/>
        </w:rPr>
        <w:t>项目</w:t>
      </w:r>
      <w:r>
        <w:rPr>
          <w:rFonts w:hint="eastAsia" w:ascii="黑体" w:hAnsi="黑体" w:eastAsia="黑体" w:cs="仿宋"/>
          <w:sz w:val="32"/>
          <w:szCs w:val="32"/>
        </w:rPr>
        <w:t>计划书</w:t>
      </w:r>
    </w:p>
    <w:p>
      <w:pPr>
        <w:snapToGrid w:val="0"/>
        <w:spacing w:line="360" w:lineRule="auto"/>
        <w:ind w:firstLine="560" w:firstLineChars="200"/>
        <w:jc w:val="left"/>
        <w:rPr>
          <w:rFonts w:hint="eastAsia" w:ascii="仿宋" w:hAnsi="仿宋" w:eastAsia="仿宋" w:cs="仿宋"/>
          <w:sz w:val="28"/>
          <w:szCs w:val="28"/>
        </w:rPr>
      </w:pPr>
      <w:r>
        <w:rPr>
          <w:rFonts w:ascii="仿宋" w:hAnsi="仿宋" w:eastAsia="仿宋" w:cs="仿宋"/>
          <w:sz w:val="28"/>
          <w:szCs w:val="28"/>
        </w:rPr>
        <w:t>2025</w:t>
      </w:r>
      <w:r>
        <w:rPr>
          <w:rFonts w:hint="eastAsia" w:ascii="仿宋" w:hAnsi="仿宋" w:eastAsia="仿宋" w:cs="仿宋"/>
          <w:sz w:val="28"/>
          <w:szCs w:val="28"/>
        </w:rPr>
        <w:t>年为征管改革收官之年，改革创新成果逐步用于税收实践，税务监管的手段和标准不断对税务干部提出新挑战。财产和行为税与企业和个人都密切相关，税企矛盾比较集中，可谓“小税种、大风险”，只有掌握与财产和行为税相关的最新知识和技能，才能胜任岗位职责，为此策划设计本项目。</w:t>
      </w:r>
    </w:p>
    <w:p>
      <w:pPr>
        <w:snapToGrid w:val="0"/>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一、培训对象</w:t>
      </w:r>
    </w:p>
    <w:p>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从事财产行为税征收管理、税务稽查等相关工作的税务干部</w:t>
      </w:r>
    </w:p>
    <w:p>
      <w:pPr>
        <w:snapToGrid w:val="0"/>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二、培训目标</w:t>
      </w:r>
    </w:p>
    <w:p>
      <w:pPr>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项目涵盖财产和行为税（含水资源税）监管的重难点，突出“税即视”功能与应用，财产和行为税信息共享和跨部门协作及其在智能化风险监管中的应用等智慧税务内容，帮助参训学员掌握财产和行为税工作的最新动态，提升税收监管水平。</w:t>
      </w:r>
    </w:p>
    <w:p>
      <w:pPr>
        <w:snapToGrid w:val="0"/>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三、培训时间</w:t>
      </w:r>
    </w:p>
    <w:p>
      <w:pPr>
        <w:snapToGrid w:val="0"/>
        <w:spacing w:line="360" w:lineRule="auto"/>
        <w:ind w:left="210" w:leftChars="100" w:firstLine="280" w:firstLineChars="100"/>
        <w:jc w:val="left"/>
        <w:rPr>
          <w:rFonts w:hint="eastAsia" w:ascii="仿宋" w:hAnsi="仿宋" w:eastAsia="仿宋" w:cs="仿宋"/>
          <w:sz w:val="28"/>
          <w:szCs w:val="28"/>
        </w:rPr>
      </w:pPr>
      <w:r>
        <w:rPr>
          <w:rFonts w:hint="eastAsia" w:ascii="仿宋" w:hAnsi="仿宋" w:eastAsia="仿宋" w:cs="仿宋"/>
          <w:sz w:val="28"/>
          <w:szCs w:val="28"/>
        </w:rPr>
        <w:t>在校培训时间共</w:t>
      </w:r>
      <w:r>
        <w:rPr>
          <w:rFonts w:ascii="仿宋" w:hAnsi="仿宋" w:eastAsia="仿宋" w:cs="仿宋"/>
          <w:sz w:val="28"/>
          <w:szCs w:val="28"/>
        </w:rPr>
        <w:t>7</w:t>
      </w:r>
      <w:r>
        <w:rPr>
          <w:rFonts w:hint="eastAsia" w:ascii="仿宋" w:hAnsi="仿宋" w:eastAsia="仿宋" w:cs="仿宋"/>
          <w:sz w:val="28"/>
          <w:szCs w:val="28"/>
        </w:rPr>
        <w:t>天，其中课程环节</w:t>
      </w:r>
      <w:r>
        <w:rPr>
          <w:rFonts w:ascii="仿宋" w:hAnsi="仿宋" w:eastAsia="仿宋" w:cs="仿宋"/>
          <w:sz w:val="28"/>
          <w:szCs w:val="28"/>
        </w:rPr>
        <w:t>5</w:t>
      </w:r>
      <w:r>
        <w:rPr>
          <w:rFonts w:hint="eastAsia" w:ascii="仿宋" w:hAnsi="仿宋" w:eastAsia="仿宋" w:cs="仿宋"/>
          <w:sz w:val="28"/>
          <w:szCs w:val="28"/>
        </w:rPr>
        <w:t>天，非课程环节</w:t>
      </w:r>
      <w:r>
        <w:rPr>
          <w:rFonts w:ascii="仿宋" w:hAnsi="仿宋" w:eastAsia="仿宋" w:cs="仿宋"/>
          <w:sz w:val="28"/>
          <w:szCs w:val="28"/>
        </w:rPr>
        <w:t>2</w:t>
      </w:r>
      <w:r>
        <w:rPr>
          <w:rFonts w:hint="eastAsia" w:ascii="仿宋" w:hAnsi="仿宋" w:eastAsia="仿宋" w:cs="仿宋"/>
          <w:sz w:val="28"/>
          <w:szCs w:val="28"/>
        </w:rPr>
        <w:t>天。</w:t>
      </w:r>
    </w:p>
    <w:p>
      <w:pPr>
        <w:snapToGrid w:val="0"/>
        <w:spacing w:line="360" w:lineRule="auto"/>
        <w:ind w:firstLine="562" w:firstLineChars="200"/>
        <w:jc w:val="left"/>
        <w:rPr>
          <w:rFonts w:hint="eastAsia" w:ascii="仿宋" w:hAnsi="仿宋" w:eastAsia="仿宋" w:cs="仿宋"/>
          <w:b/>
          <w:sz w:val="28"/>
          <w:szCs w:val="28"/>
        </w:rPr>
      </w:pPr>
      <w:r>
        <w:rPr>
          <w:rFonts w:hint="eastAsia" w:ascii="仿宋" w:hAnsi="仿宋" w:eastAsia="仿宋" w:cs="仿宋"/>
          <w:b/>
          <w:sz w:val="28"/>
          <w:szCs w:val="28"/>
        </w:rPr>
        <w:t>四、课程设置</w:t>
      </w:r>
    </w:p>
    <w:tbl>
      <w:tblPr>
        <w:tblStyle w:val="2"/>
        <w:tblW w:w="895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3196"/>
        <w:gridCol w:w="1331"/>
        <w:gridCol w:w="1512"/>
        <w:gridCol w:w="14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476" w:type="dxa"/>
            <w:tcBorders>
              <w:tl2br w:val="nil"/>
              <w:tr2bl w:val="nil"/>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模</w:t>
            </w:r>
            <w:r>
              <w:rPr>
                <w:rFonts w:ascii="仿宋" w:hAnsi="仿宋" w:eastAsia="仿宋" w:cs="仿宋"/>
                <w:b/>
                <w:sz w:val="24"/>
              </w:rPr>
              <w:t xml:space="preserve"> </w:t>
            </w:r>
            <w:r>
              <w:rPr>
                <w:rFonts w:hint="eastAsia" w:ascii="仿宋" w:hAnsi="仿宋" w:eastAsia="仿宋" w:cs="仿宋"/>
                <w:b/>
                <w:sz w:val="24"/>
              </w:rPr>
              <w:t>块</w:t>
            </w:r>
          </w:p>
        </w:tc>
        <w:tc>
          <w:tcPr>
            <w:tcW w:w="3196" w:type="dxa"/>
            <w:tcBorders>
              <w:tl2br w:val="nil"/>
              <w:tr2bl w:val="nil"/>
            </w:tcBorders>
            <w:vAlign w:val="center"/>
          </w:tcPr>
          <w:p>
            <w:pPr>
              <w:snapToGrid w:val="0"/>
              <w:spacing w:line="360" w:lineRule="exact"/>
              <w:ind w:firstLine="472" w:firstLineChars="196"/>
              <w:jc w:val="center"/>
              <w:rPr>
                <w:rFonts w:hint="eastAsia" w:ascii="仿宋" w:hAnsi="仿宋" w:eastAsia="仿宋" w:cs="仿宋"/>
                <w:b/>
                <w:sz w:val="24"/>
              </w:rPr>
            </w:pPr>
            <w:r>
              <w:rPr>
                <w:rFonts w:hint="eastAsia" w:ascii="仿宋" w:hAnsi="仿宋" w:eastAsia="仿宋" w:cs="仿宋"/>
                <w:b/>
                <w:sz w:val="24"/>
              </w:rPr>
              <w:t>培训内容</w:t>
            </w:r>
          </w:p>
        </w:tc>
        <w:tc>
          <w:tcPr>
            <w:tcW w:w="1331" w:type="dxa"/>
            <w:tcBorders>
              <w:tl2br w:val="nil"/>
              <w:tr2bl w:val="nil"/>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课时（天）</w:t>
            </w:r>
          </w:p>
        </w:tc>
        <w:tc>
          <w:tcPr>
            <w:tcW w:w="1512" w:type="dxa"/>
            <w:tcBorders>
              <w:tl2br w:val="nil"/>
              <w:tr2bl w:val="nil"/>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拟聘师资</w:t>
            </w:r>
          </w:p>
        </w:tc>
        <w:tc>
          <w:tcPr>
            <w:tcW w:w="1441" w:type="dxa"/>
            <w:tcBorders>
              <w:tl2br w:val="nil"/>
              <w:tr2bl w:val="nil"/>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教学方法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1476" w:type="dxa"/>
            <w:vMerge w:val="restart"/>
            <w:tcBorders>
              <w:tl2br w:val="nil"/>
              <w:tr2bl w:val="nil"/>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党的理论与党性教育</w:t>
            </w:r>
          </w:p>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w:t>
            </w:r>
            <w:r>
              <w:rPr>
                <w:rFonts w:ascii="仿宋" w:hAnsi="仿宋" w:eastAsia="仿宋" w:cs="仿宋"/>
                <w:b/>
                <w:sz w:val="24"/>
              </w:rPr>
              <w:t>1</w:t>
            </w:r>
            <w:r>
              <w:rPr>
                <w:rFonts w:hint="eastAsia" w:ascii="仿宋" w:hAnsi="仿宋" w:eastAsia="仿宋" w:cs="仿宋"/>
                <w:b/>
                <w:sz w:val="24"/>
              </w:rPr>
              <w:t>天）</w:t>
            </w:r>
          </w:p>
        </w:tc>
        <w:tc>
          <w:tcPr>
            <w:tcW w:w="3196" w:type="dxa"/>
            <w:tcBorders>
              <w:tl2br w:val="nil"/>
              <w:tr2bl w:val="nil"/>
            </w:tcBorders>
          </w:tcPr>
          <w:p>
            <w:pPr>
              <w:spacing w:line="360" w:lineRule="exact"/>
              <w:jc w:val="left"/>
              <w:rPr>
                <w:rFonts w:hint="eastAsia" w:ascii="仿宋" w:hAnsi="仿宋" w:eastAsia="仿宋"/>
                <w:sz w:val="24"/>
              </w:rPr>
            </w:pPr>
            <w:r>
              <w:rPr>
                <w:rFonts w:ascii="仿宋" w:hAnsi="仿宋" w:eastAsia="仿宋"/>
                <w:sz w:val="24"/>
              </w:rPr>
              <w:t>1.</w:t>
            </w:r>
            <w:r>
              <w:rPr>
                <w:rFonts w:hint="eastAsia" w:ascii="仿宋" w:hAnsi="仿宋" w:eastAsia="仿宋"/>
                <w:sz w:val="24"/>
              </w:rPr>
              <w:t>党的理论与党性教育相关课程</w:t>
            </w:r>
          </w:p>
        </w:tc>
        <w:tc>
          <w:tcPr>
            <w:tcW w:w="1331" w:type="dxa"/>
            <w:tcBorders>
              <w:tl2br w:val="nil"/>
              <w:tr2bl w:val="nil"/>
            </w:tcBorders>
            <w:vAlign w:val="center"/>
          </w:tcPr>
          <w:p>
            <w:pPr>
              <w:snapToGrid w:val="0"/>
              <w:jc w:val="center"/>
              <w:rPr>
                <w:rFonts w:hint="eastAsia" w:ascii="仿宋" w:hAnsi="仿宋" w:eastAsia="仿宋"/>
                <w:sz w:val="24"/>
              </w:rPr>
            </w:pPr>
            <w:r>
              <w:rPr>
                <w:rFonts w:ascii="仿宋" w:hAnsi="仿宋" w:eastAsia="仿宋"/>
                <w:sz w:val="24"/>
              </w:rPr>
              <w:t>0.5</w:t>
            </w:r>
          </w:p>
        </w:tc>
        <w:tc>
          <w:tcPr>
            <w:tcW w:w="1512" w:type="dxa"/>
            <w:tcBorders>
              <w:tl2br w:val="nil"/>
              <w:tr2bl w:val="nil"/>
            </w:tcBorders>
            <w:vAlign w:val="center"/>
          </w:tcPr>
          <w:p>
            <w:pPr>
              <w:snapToGrid w:val="0"/>
              <w:jc w:val="center"/>
              <w:rPr>
                <w:rFonts w:hint="eastAsia" w:ascii="仿宋" w:hAnsi="仿宋" w:eastAsia="仿宋"/>
                <w:sz w:val="24"/>
              </w:rPr>
            </w:pPr>
            <w:r>
              <w:rPr>
                <w:rFonts w:hint="eastAsia" w:ascii="仿宋" w:hAnsi="仿宋" w:eastAsia="仿宋" w:cs="仿宋"/>
                <w:sz w:val="24"/>
                <w:lang w:val="zh-CN"/>
              </w:rPr>
              <w:t>校内教师</w:t>
            </w:r>
          </w:p>
        </w:tc>
        <w:tc>
          <w:tcPr>
            <w:tcW w:w="1441" w:type="dxa"/>
            <w:tcBorders>
              <w:tl2br w:val="nil"/>
              <w:tr2bl w:val="nil"/>
            </w:tcBorders>
            <w:vAlign w:val="center"/>
          </w:tcPr>
          <w:p>
            <w:pPr>
              <w:snapToGrid w:val="0"/>
              <w:jc w:val="center"/>
              <w:rPr>
                <w:rFonts w:hint="eastAsia" w:ascii="仿宋" w:hAnsi="仿宋" w:eastAsia="仿宋"/>
                <w:sz w:val="24"/>
              </w:rPr>
            </w:pPr>
            <w:r>
              <w:rPr>
                <w:rFonts w:hint="eastAsia" w:ascii="仿宋" w:hAnsi="仿宋" w:eastAsia="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476" w:type="dxa"/>
            <w:vMerge w:val="continue"/>
            <w:tcBorders>
              <w:tl2br w:val="nil"/>
              <w:tr2bl w:val="nil"/>
            </w:tcBorders>
            <w:vAlign w:val="center"/>
          </w:tcPr>
          <w:p>
            <w:pPr>
              <w:snapToGrid w:val="0"/>
              <w:spacing w:line="360" w:lineRule="exact"/>
              <w:jc w:val="center"/>
              <w:rPr>
                <w:rFonts w:hint="eastAsia" w:ascii="仿宋" w:hAnsi="仿宋" w:eastAsia="仿宋" w:cs="仿宋"/>
                <w:b/>
                <w:sz w:val="24"/>
              </w:rPr>
            </w:pPr>
          </w:p>
        </w:tc>
        <w:tc>
          <w:tcPr>
            <w:tcW w:w="3196" w:type="dxa"/>
            <w:tcBorders>
              <w:tl2br w:val="nil"/>
              <w:tr2bl w:val="nil"/>
            </w:tcBorders>
            <w:vAlign w:val="center"/>
          </w:tcPr>
          <w:p>
            <w:pPr>
              <w:spacing w:line="360" w:lineRule="exact"/>
              <w:rPr>
                <w:rFonts w:hint="eastAsia" w:ascii="仿宋" w:hAnsi="仿宋" w:eastAsia="仿宋"/>
                <w:sz w:val="24"/>
              </w:rPr>
            </w:pPr>
            <w:r>
              <w:rPr>
                <w:rFonts w:ascii="仿宋" w:hAnsi="仿宋" w:eastAsia="仿宋"/>
                <w:sz w:val="24"/>
              </w:rPr>
              <w:t>2.</w:t>
            </w:r>
            <w:r>
              <w:rPr>
                <w:rFonts w:hint="eastAsia" w:ascii="仿宋" w:hAnsi="仿宋" w:eastAsia="仿宋"/>
                <w:sz w:val="24"/>
              </w:rPr>
              <w:t>主题党日活动</w:t>
            </w:r>
          </w:p>
        </w:tc>
        <w:tc>
          <w:tcPr>
            <w:tcW w:w="1331" w:type="dxa"/>
            <w:tcBorders>
              <w:tl2br w:val="nil"/>
              <w:tr2bl w:val="nil"/>
            </w:tcBorders>
            <w:vAlign w:val="center"/>
          </w:tcPr>
          <w:p>
            <w:pPr>
              <w:snapToGrid w:val="0"/>
              <w:spacing w:line="360" w:lineRule="exact"/>
              <w:jc w:val="center"/>
              <w:rPr>
                <w:rFonts w:hint="eastAsia" w:ascii="仿宋" w:hAnsi="仿宋" w:eastAsia="仿宋"/>
                <w:sz w:val="24"/>
              </w:rPr>
            </w:pPr>
            <w:r>
              <w:rPr>
                <w:rFonts w:ascii="仿宋" w:hAnsi="仿宋" w:eastAsia="仿宋"/>
                <w:sz w:val="24"/>
              </w:rPr>
              <w:t>0.5</w:t>
            </w:r>
          </w:p>
        </w:tc>
        <w:tc>
          <w:tcPr>
            <w:tcW w:w="1512" w:type="dxa"/>
            <w:tcBorders>
              <w:tl2br w:val="nil"/>
              <w:tr2bl w:val="nil"/>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lang w:val="zh-CN"/>
              </w:rPr>
              <w:t>校内教师</w:t>
            </w:r>
          </w:p>
        </w:tc>
        <w:tc>
          <w:tcPr>
            <w:tcW w:w="1441" w:type="dxa"/>
            <w:tcBorders>
              <w:tl2br w:val="nil"/>
              <w:tr2bl w:val="nil"/>
            </w:tcBorders>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体验式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1476" w:type="dxa"/>
            <w:vMerge w:val="restart"/>
            <w:tcBorders>
              <w:tl2br w:val="nil"/>
              <w:tr2bl w:val="nil"/>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核心业务</w:t>
            </w:r>
          </w:p>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w:t>
            </w:r>
            <w:r>
              <w:rPr>
                <w:rFonts w:ascii="仿宋" w:hAnsi="仿宋" w:eastAsia="仿宋" w:cs="仿宋"/>
                <w:b/>
                <w:sz w:val="24"/>
              </w:rPr>
              <w:t>4</w:t>
            </w:r>
            <w:r>
              <w:rPr>
                <w:rFonts w:hint="eastAsia" w:ascii="仿宋" w:hAnsi="仿宋" w:eastAsia="仿宋" w:cs="仿宋"/>
                <w:b/>
                <w:sz w:val="24"/>
              </w:rPr>
              <w:t>天）</w:t>
            </w:r>
          </w:p>
        </w:tc>
        <w:tc>
          <w:tcPr>
            <w:tcW w:w="3196" w:type="dxa"/>
            <w:tcBorders>
              <w:tl2br w:val="nil"/>
              <w:tr2bl w:val="nil"/>
            </w:tcBorders>
          </w:tcPr>
          <w:p>
            <w:pPr>
              <w:spacing w:line="360" w:lineRule="exact"/>
              <w:jc w:val="left"/>
              <w:rPr>
                <w:rFonts w:hint="eastAsia" w:ascii="仿宋" w:hAnsi="仿宋" w:eastAsia="仿宋"/>
                <w:sz w:val="24"/>
              </w:rPr>
            </w:pPr>
            <w:r>
              <w:rPr>
                <w:rFonts w:ascii="仿宋" w:hAnsi="仿宋" w:eastAsia="仿宋"/>
                <w:sz w:val="24"/>
              </w:rPr>
              <w:t>1.</w:t>
            </w:r>
            <w:r>
              <w:rPr>
                <w:rFonts w:hint="eastAsia" w:ascii="仿宋" w:hAnsi="仿宋" w:eastAsia="仿宋"/>
                <w:sz w:val="24"/>
              </w:rPr>
              <w:t>“税即视”功能与应用</w:t>
            </w:r>
          </w:p>
        </w:tc>
        <w:tc>
          <w:tcPr>
            <w:tcW w:w="1331" w:type="dxa"/>
            <w:tcBorders>
              <w:tl2br w:val="nil"/>
              <w:tr2bl w:val="nil"/>
            </w:tcBorders>
            <w:vAlign w:val="center"/>
          </w:tcPr>
          <w:p>
            <w:pPr>
              <w:snapToGrid w:val="0"/>
              <w:spacing w:line="360" w:lineRule="exact"/>
              <w:jc w:val="center"/>
              <w:rPr>
                <w:rFonts w:hint="eastAsia" w:ascii="仿宋" w:hAnsi="仿宋" w:eastAsia="仿宋"/>
                <w:sz w:val="24"/>
              </w:rPr>
            </w:pPr>
            <w:r>
              <w:rPr>
                <w:rFonts w:ascii="仿宋" w:hAnsi="仿宋" w:eastAsia="仿宋"/>
                <w:sz w:val="24"/>
              </w:rPr>
              <w:t>0.5</w:t>
            </w:r>
          </w:p>
        </w:tc>
        <w:tc>
          <w:tcPr>
            <w:tcW w:w="1512" w:type="dxa"/>
            <w:tcBorders>
              <w:tl2br w:val="nil"/>
              <w:tr2bl w:val="nil"/>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lang w:val="zh-CN"/>
              </w:rPr>
              <w:t>外聘教师</w:t>
            </w:r>
          </w:p>
        </w:tc>
        <w:tc>
          <w:tcPr>
            <w:tcW w:w="1441" w:type="dxa"/>
            <w:tcBorders>
              <w:tl2br w:val="nil"/>
              <w:tr2bl w:val="nil"/>
            </w:tcBorders>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476" w:type="dxa"/>
            <w:vMerge w:val="continue"/>
            <w:tcBorders>
              <w:tl2br w:val="nil"/>
              <w:tr2bl w:val="nil"/>
            </w:tcBorders>
            <w:vAlign w:val="center"/>
          </w:tcPr>
          <w:p>
            <w:pPr>
              <w:snapToGrid w:val="0"/>
              <w:spacing w:line="360" w:lineRule="exact"/>
              <w:rPr>
                <w:rFonts w:hint="eastAsia" w:ascii="仿宋" w:hAnsi="仿宋" w:eastAsia="仿宋" w:cs="仿宋"/>
                <w:b/>
                <w:sz w:val="24"/>
              </w:rPr>
            </w:pPr>
          </w:p>
        </w:tc>
        <w:tc>
          <w:tcPr>
            <w:tcW w:w="3196" w:type="dxa"/>
            <w:tcBorders>
              <w:tl2br w:val="nil"/>
              <w:tr2bl w:val="nil"/>
            </w:tcBorders>
          </w:tcPr>
          <w:p>
            <w:pPr>
              <w:snapToGrid w:val="0"/>
              <w:spacing w:line="360" w:lineRule="exact"/>
              <w:rPr>
                <w:rFonts w:hint="eastAsia" w:ascii="仿宋" w:hAnsi="仿宋" w:eastAsia="仿宋"/>
                <w:sz w:val="24"/>
              </w:rPr>
            </w:pPr>
            <w:r>
              <w:rPr>
                <w:rFonts w:ascii="仿宋" w:hAnsi="仿宋" w:eastAsia="仿宋"/>
                <w:sz w:val="24"/>
              </w:rPr>
              <w:t>2.</w:t>
            </w:r>
            <w:r>
              <w:rPr>
                <w:rFonts w:hint="eastAsia" w:ascii="仿宋" w:hAnsi="仿宋" w:eastAsia="仿宋"/>
                <w:sz w:val="24"/>
              </w:rPr>
              <w:t>财产和行为税税务监管的重点难点</w:t>
            </w:r>
          </w:p>
        </w:tc>
        <w:tc>
          <w:tcPr>
            <w:tcW w:w="1331" w:type="dxa"/>
            <w:tcBorders>
              <w:tl2br w:val="nil"/>
              <w:tr2bl w:val="nil"/>
            </w:tcBorders>
            <w:vAlign w:val="center"/>
          </w:tcPr>
          <w:p>
            <w:pPr>
              <w:snapToGrid w:val="0"/>
              <w:spacing w:line="360" w:lineRule="exact"/>
              <w:jc w:val="center"/>
              <w:rPr>
                <w:rFonts w:hint="eastAsia" w:ascii="仿宋" w:hAnsi="仿宋" w:eastAsia="仿宋"/>
                <w:sz w:val="24"/>
              </w:rPr>
            </w:pPr>
            <w:r>
              <w:rPr>
                <w:rFonts w:ascii="仿宋" w:hAnsi="仿宋" w:eastAsia="仿宋"/>
                <w:sz w:val="24"/>
              </w:rPr>
              <w:t>1</w:t>
            </w:r>
          </w:p>
        </w:tc>
        <w:tc>
          <w:tcPr>
            <w:tcW w:w="1512" w:type="dxa"/>
            <w:tcBorders>
              <w:tl2br w:val="nil"/>
              <w:tr2bl w:val="nil"/>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lang w:val="zh-CN"/>
              </w:rPr>
              <w:t>校内教师</w:t>
            </w:r>
          </w:p>
        </w:tc>
        <w:tc>
          <w:tcPr>
            <w:tcW w:w="1441" w:type="dxa"/>
            <w:tcBorders>
              <w:tl2br w:val="nil"/>
              <w:tr2bl w:val="nil"/>
            </w:tcBorders>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1476" w:type="dxa"/>
            <w:vMerge w:val="continue"/>
            <w:tcBorders>
              <w:tl2br w:val="nil"/>
              <w:tr2bl w:val="nil"/>
            </w:tcBorders>
            <w:vAlign w:val="center"/>
          </w:tcPr>
          <w:p>
            <w:pPr>
              <w:snapToGrid w:val="0"/>
              <w:spacing w:line="360" w:lineRule="exact"/>
              <w:rPr>
                <w:rFonts w:hint="eastAsia" w:ascii="仿宋" w:hAnsi="仿宋" w:eastAsia="仿宋" w:cs="仿宋"/>
                <w:b/>
                <w:sz w:val="24"/>
              </w:rPr>
            </w:pPr>
          </w:p>
        </w:tc>
        <w:tc>
          <w:tcPr>
            <w:tcW w:w="3196" w:type="dxa"/>
            <w:tcBorders>
              <w:tl2br w:val="nil"/>
              <w:tr2bl w:val="nil"/>
            </w:tcBorders>
          </w:tcPr>
          <w:p>
            <w:pPr>
              <w:snapToGrid w:val="0"/>
              <w:spacing w:line="360" w:lineRule="exact"/>
              <w:rPr>
                <w:rFonts w:hint="eastAsia" w:ascii="仿宋" w:hAnsi="仿宋" w:eastAsia="仿宋"/>
                <w:sz w:val="24"/>
              </w:rPr>
            </w:pPr>
            <w:r>
              <w:rPr>
                <w:rFonts w:ascii="仿宋" w:hAnsi="仿宋" w:eastAsia="仿宋"/>
                <w:sz w:val="24"/>
              </w:rPr>
              <w:t>3.</w:t>
            </w:r>
            <w:r>
              <w:rPr>
                <w:rFonts w:hint="eastAsia" w:ascii="仿宋" w:hAnsi="仿宋" w:eastAsia="仿宋"/>
                <w:sz w:val="24"/>
              </w:rPr>
              <w:t>土地增值税税务监管的重点难点</w:t>
            </w:r>
          </w:p>
        </w:tc>
        <w:tc>
          <w:tcPr>
            <w:tcW w:w="1331" w:type="dxa"/>
            <w:tcBorders>
              <w:tl2br w:val="nil"/>
              <w:tr2bl w:val="nil"/>
            </w:tcBorders>
            <w:vAlign w:val="center"/>
          </w:tcPr>
          <w:p>
            <w:pPr>
              <w:snapToGrid w:val="0"/>
              <w:spacing w:line="360" w:lineRule="exact"/>
              <w:jc w:val="center"/>
              <w:rPr>
                <w:rFonts w:hint="eastAsia" w:ascii="仿宋" w:hAnsi="仿宋" w:eastAsia="仿宋"/>
                <w:sz w:val="24"/>
              </w:rPr>
            </w:pPr>
            <w:r>
              <w:rPr>
                <w:rFonts w:ascii="仿宋" w:hAnsi="仿宋" w:eastAsia="仿宋"/>
                <w:sz w:val="24"/>
              </w:rPr>
              <w:t>0.5</w:t>
            </w:r>
          </w:p>
        </w:tc>
        <w:tc>
          <w:tcPr>
            <w:tcW w:w="1512" w:type="dxa"/>
            <w:tcBorders>
              <w:tl2br w:val="nil"/>
              <w:tr2bl w:val="nil"/>
            </w:tcBorders>
            <w:vAlign w:val="center"/>
          </w:tcPr>
          <w:p>
            <w:pPr>
              <w:snapToGrid w:val="0"/>
              <w:spacing w:line="360" w:lineRule="exact"/>
              <w:jc w:val="center"/>
              <w:rPr>
                <w:rFonts w:hint="eastAsia" w:ascii="仿宋" w:hAnsi="仿宋" w:eastAsia="仿宋" w:cs="仿宋"/>
                <w:sz w:val="24"/>
                <w:lang w:val="zh-CN"/>
              </w:rPr>
            </w:pPr>
            <w:r>
              <w:rPr>
                <w:rFonts w:hint="eastAsia" w:ascii="仿宋" w:hAnsi="仿宋" w:eastAsia="仿宋" w:cs="仿宋"/>
                <w:sz w:val="24"/>
                <w:lang w:val="zh-CN"/>
              </w:rPr>
              <w:t>校内教师</w:t>
            </w:r>
          </w:p>
        </w:tc>
        <w:tc>
          <w:tcPr>
            <w:tcW w:w="1441" w:type="dxa"/>
            <w:tcBorders>
              <w:tl2br w:val="nil"/>
              <w:tr2bl w:val="nil"/>
            </w:tcBorders>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1476" w:type="dxa"/>
            <w:vMerge w:val="continue"/>
            <w:tcBorders>
              <w:tl2br w:val="nil"/>
              <w:tr2bl w:val="nil"/>
            </w:tcBorders>
            <w:vAlign w:val="center"/>
          </w:tcPr>
          <w:p>
            <w:pPr>
              <w:snapToGrid w:val="0"/>
              <w:spacing w:line="360" w:lineRule="exact"/>
              <w:rPr>
                <w:rFonts w:hint="eastAsia" w:ascii="仿宋" w:hAnsi="仿宋" w:eastAsia="仿宋" w:cs="仿宋"/>
                <w:b/>
                <w:sz w:val="24"/>
              </w:rPr>
            </w:pPr>
          </w:p>
        </w:tc>
        <w:tc>
          <w:tcPr>
            <w:tcW w:w="3196" w:type="dxa"/>
            <w:tcBorders>
              <w:tl2br w:val="nil"/>
              <w:tr2bl w:val="nil"/>
            </w:tcBorders>
            <w:vAlign w:val="center"/>
          </w:tcPr>
          <w:p>
            <w:pPr>
              <w:snapToGrid w:val="0"/>
              <w:spacing w:line="360" w:lineRule="exact"/>
              <w:rPr>
                <w:rFonts w:hint="eastAsia" w:ascii="仿宋" w:hAnsi="仿宋" w:eastAsia="仿宋"/>
                <w:sz w:val="24"/>
              </w:rPr>
            </w:pPr>
            <w:r>
              <w:rPr>
                <w:rFonts w:ascii="仿宋" w:hAnsi="仿宋" w:eastAsia="仿宋" w:cs="仿宋"/>
                <w:sz w:val="24"/>
              </w:rPr>
              <w:t>4.</w:t>
            </w:r>
            <w:r>
              <w:rPr>
                <w:rFonts w:hint="eastAsia" w:ascii="仿宋" w:hAnsi="仿宋" w:eastAsia="仿宋" w:cs="仿宋"/>
                <w:sz w:val="24"/>
              </w:rPr>
              <w:t>水资源税政策解读与监管</w:t>
            </w:r>
          </w:p>
        </w:tc>
        <w:tc>
          <w:tcPr>
            <w:tcW w:w="1331" w:type="dxa"/>
            <w:tcBorders>
              <w:tl2br w:val="nil"/>
              <w:tr2bl w:val="nil"/>
            </w:tcBorders>
            <w:vAlign w:val="center"/>
          </w:tcPr>
          <w:p>
            <w:pPr>
              <w:snapToGrid w:val="0"/>
              <w:spacing w:line="360" w:lineRule="exact"/>
              <w:jc w:val="center"/>
              <w:rPr>
                <w:rFonts w:hint="eastAsia" w:ascii="仿宋" w:hAnsi="仿宋" w:eastAsia="仿宋"/>
                <w:sz w:val="24"/>
              </w:rPr>
            </w:pPr>
            <w:r>
              <w:rPr>
                <w:rFonts w:ascii="仿宋" w:hAnsi="仿宋" w:eastAsia="仿宋" w:cs="仿宋"/>
                <w:sz w:val="24"/>
              </w:rPr>
              <w:t>0.5</w:t>
            </w:r>
          </w:p>
        </w:tc>
        <w:tc>
          <w:tcPr>
            <w:tcW w:w="1512" w:type="dxa"/>
            <w:tcBorders>
              <w:tl2br w:val="nil"/>
              <w:tr2bl w:val="nil"/>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lang w:val="zh-CN"/>
              </w:rPr>
              <w:t>校内教师</w:t>
            </w:r>
          </w:p>
        </w:tc>
        <w:tc>
          <w:tcPr>
            <w:tcW w:w="1441" w:type="dxa"/>
            <w:tcBorders>
              <w:tl2br w:val="nil"/>
              <w:tr2bl w:val="nil"/>
            </w:tcBorders>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 w:hRule="atLeast"/>
          <w:jc w:val="center"/>
        </w:trPr>
        <w:tc>
          <w:tcPr>
            <w:tcW w:w="1476" w:type="dxa"/>
            <w:vMerge w:val="continue"/>
            <w:tcBorders>
              <w:tl2br w:val="nil"/>
              <w:tr2bl w:val="nil"/>
            </w:tcBorders>
            <w:vAlign w:val="center"/>
          </w:tcPr>
          <w:p>
            <w:pPr>
              <w:snapToGrid w:val="0"/>
              <w:spacing w:line="360" w:lineRule="exact"/>
              <w:rPr>
                <w:rFonts w:hint="eastAsia" w:ascii="仿宋" w:hAnsi="仿宋" w:eastAsia="仿宋" w:cs="仿宋"/>
                <w:b/>
                <w:sz w:val="24"/>
              </w:rPr>
            </w:pPr>
          </w:p>
        </w:tc>
        <w:tc>
          <w:tcPr>
            <w:tcW w:w="3196" w:type="dxa"/>
            <w:tcBorders>
              <w:tl2br w:val="nil"/>
              <w:tr2bl w:val="nil"/>
            </w:tcBorders>
            <w:vAlign w:val="center"/>
          </w:tcPr>
          <w:p>
            <w:pPr>
              <w:spacing w:line="360" w:lineRule="exact"/>
              <w:jc w:val="left"/>
              <w:rPr>
                <w:rFonts w:hint="eastAsia" w:ascii="仿宋" w:hAnsi="仿宋" w:eastAsia="仿宋"/>
                <w:sz w:val="24"/>
              </w:rPr>
            </w:pPr>
            <w:r>
              <w:rPr>
                <w:rFonts w:ascii="仿宋" w:hAnsi="仿宋" w:eastAsia="仿宋" w:cs="仿宋"/>
                <w:sz w:val="24"/>
              </w:rPr>
              <w:t>5.</w:t>
            </w:r>
            <w:r>
              <w:rPr>
                <w:rFonts w:hint="eastAsia" w:ascii="仿宋" w:hAnsi="仿宋" w:eastAsia="仿宋" w:cs="仿宋"/>
                <w:sz w:val="24"/>
              </w:rPr>
              <w:t>财产和行为税税收信息共享和跨部门协作</w:t>
            </w:r>
          </w:p>
        </w:tc>
        <w:tc>
          <w:tcPr>
            <w:tcW w:w="1331" w:type="dxa"/>
            <w:tcBorders>
              <w:tl2br w:val="nil"/>
              <w:tr2bl w:val="nil"/>
            </w:tcBorders>
            <w:vAlign w:val="center"/>
          </w:tcPr>
          <w:p>
            <w:pPr>
              <w:snapToGrid w:val="0"/>
              <w:spacing w:line="360" w:lineRule="exact"/>
              <w:jc w:val="center"/>
              <w:rPr>
                <w:rFonts w:hint="eastAsia" w:ascii="仿宋" w:hAnsi="仿宋" w:eastAsia="仿宋"/>
                <w:sz w:val="24"/>
              </w:rPr>
            </w:pPr>
            <w:r>
              <w:rPr>
                <w:rFonts w:ascii="仿宋" w:hAnsi="仿宋" w:eastAsia="仿宋"/>
                <w:sz w:val="24"/>
              </w:rPr>
              <w:t>0.5</w:t>
            </w:r>
          </w:p>
        </w:tc>
        <w:tc>
          <w:tcPr>
            <w:tcW w:w="1512" w:type="dxa"/>
            <w:tcBorders>
              <w:tl2br w:val="nil"/>
              <w:tr2bl w:val="nil"/>
            </w:tcBorders>
            <w:vAlign w:val="center"/>
          </w:tcPr>
          <w:p>
            <w:pPr>
              <w:snapToGrid w:val="0"/>
              <w:spacing w:line="360" w:lineRule="exact"/>
              <w:jc w:val="center"/>
              <w:rPr>
                <w:rFonts w:hint="eastAsia" w:ascii="仿宋" w:hAnsi="仿宋" w:eastAsia="仿宋"/>
                <w:sz w:val="24"/>
              </w:rPr>
            </w:pPr>
            <w:r>
              <w:rPr>
                <w:rFonts w:hint="eastAsia" w:ascii="仿宋" w:hAnsi="仿宋" w:eastAsia="仿宋" w:cs="仿宋"/>
                <w:sz w:val="24"/>
                <w:lang w:val="zh-CN"/>
              </w:rPr>
              <w:t>校内教师</w:t>
            </w:r>
          </w:p>
        </w:tc>
        <w:tc>
          <w:tcPr>
            <w:tcW w:w="1441" w:type="dxa"/>
            <w:tcBorders>
              <w:tl2br w:val="nil"/>
              <w:tr2bl w:val="nil"/>
            </w:tcBorders>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 w:hRule="atLeast"/>
          <w:jc w:val="center"/>
        </w:trPr>
        <w:tc>
          <w:tcPr>
            <w:tcW w:w="1476" w:type="dxa"/>
            <w:vMerge w:val="continue"/>
            <w:tcBorders>
              <w:tl2br w:val="nil"/>
              <w:tr2bl w:val="nil"/>
            </w:tcBorders>
            <w:vAlign w:val="center"/>
          </w:tcPr>
          <w:p>
            <w:pPr>
              <w:snapToGrid w:val="0"/>
              <w:spacing w:line="360" w:lineRule="exact"/>
              <w:rPr>
                <w:rFonts w:hint="eastAsia" w:ascii="仿宋" w:hAnsi="仿宋" w:eastAsia="仿宋" w:cs="仿宋"/>
                <w:b/>
                <w:sz w:val="24"/>
              </w:rPr>
            </w:pPr>
          </w:p>
        </w:tc>
        <w:tc>
          <w:tcPr>
            <w:tcW w:w="3196" w:type="dxa"/>
            <w:tcBorders>
              <w:tl2br w:val="nil"/>
              <w:tr2bl w:val="nil"/>
            </w:tcBorders>
          </w:tcPr>
          <w:p>
            <w:pPr>
              <w:spacing w:line="360" w:lineRule="exact"/>
              <w:jc w:val="left"/>
              <w:rPr>
                <w:rFonts w:hint="eastAsia" w:ascii="仿宋" w:hAnsi="仿宋" w:eastAsia="仿宋"/>
                <w:sz w:val="24"/>
              </w:rPr>
            </w:pPr>
            <w:r>
              <w:rPr>
                <w:rFonts w:ascii="仿宋" w:hAnsi="仿宋" w:eastAsia="仿宋"/>
                <w:sz w:val="24"/>
              </w:rPr>
              <w:t>6.</w:t>
            </w:r>
            <w:r>
              <w:rPr>
                <w:rFonts w:hint="eastAsia" w:ascii="仿宋" w:hAnsi="仿宋" w:eastAsia="仿宋"/>
                <w:sz w:val="24"/>
              </w:rPr>
              <w:t>财产和行为税在智能化风险监管中的应用</w:t>
            </w:r>
          </w:p>
        </w:tc>
        <w:tc>
          <w:tcPr>
            <w:tcW w:w="1331" w:type="dxa"/>
            <w:tcBorders>
              <w:tl2br w:val="nil"/>
              <w:tr2bl w:val="nil"/>
            </w:tcBorders>
            <w:vAlign w:val="center"/>
          </w:tcPr>
          <w:p>
            <w:pPr>
              <w:snapToGrid w:val="0"/>
              <w:spacing w:line="360" w:lineRule="exact"/>
              <w:jc w:val="center"/>
              <w:rPr>
                <w:rFonts w:hint="eastAsia" w:ascii="仿宋" w:hAnsi="仿宋" w:eastAsia="仿宋"/>
                <w:sz w:val="24"/>
              </w:rPr>
            </w:pPr>
            <w:r>
              <w:rPr>
                <w:rFonts w:ascii="仿宋" w:hAnsi="仿宋" w:eastAsia="仿宋"/>
                <w:sz w:val="24"/>
              </w:rPr>
              <w:t>0.5</w:t>
            </w:r>
          </w:p>
        </w:tc>
        <w:tc>
          <w:tcPr>
            <w:tcW w:w="1512" w:type="dxa"/>
            <w:tcBorders>
              <w:tl2br w:val="nil"/>
              <w:tr2bl w:val="nil"/>
            </w:tcBorders>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校内教师</w:t>
            </w:r>
          </w:p>
        </w:tc>
        <w:tc>
          <w:tcPr>
            <w:tcW w:w="1441" w:type="dxa"/>
            <w:tcBorders>
              <w:tl2br w:val="nil"/>
              <w:tr2bl w:val="nil"/>
            </w:tcBorders>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 w:hRule="atLeast"/>
          <w:jc w:val="center"/>
        </w:trPr>
        <w:tc>
          <w:tcPr>
            <w:tcW w:w="1476" w:type="dxa"/>
            <w:vMerge w:val="continue"/>
            <w:tcBorders>
              <w:tl2br w:val="nil"/>
              <w:tr2bl w:val="nil"/>
            </w:tcBorders>
            <w:vAlign w:val="center"/>
          </w:tcPr>
          <w:p>
            <w:pPr>
              <w:snapToGrid w:val="0"/>
              <w:spacing w:line="360" w:lineRule="exact"/>
              <w:rPr>
                <w:rFonts w:hint="eastAsia" w:ascii="仿宋" w:hAnsi="仿宋" w:eastAsia="仿宋" w:cs="仿宋"/>
                <w:b/>
                <w:sz w:val="24"/>
              </w:rPr>
            </w:pPr>
          </w:p>
        </w:tc>
        <w:tc>
          <w:tcPr>
            <w:tcW w:w="3196" w:type="dxa"/>
            <w:tcBorders>
              <w:tl2br w:val="nil"/>
              <w:tr2bl w:val="nil"/>
            </w:tcBorders>
            <w:vAlign w:val="center"/>
          </w:tcPr>
          <w:p>
            <w:pPr>
              <w:snapToGrid w:val="0"/>
              <w:spacing w:line="360" w:lineRule="exact"/>
              <w:rPr>
                <w:rFonts w:hint="eastAsia" w:ascii="仿宋" w:hAnsi="仿宋" w:eastAsia="仿宋"/>
                <w:sz w:val="24"/>
              </w:rPr>
            </w:pPr>
            <w:r>
              <w:rPr>
                <w:rFonts w:ascii="仿宋" w:hAnsi="仿宋" w:eastAsia="仿宋"/>
                <w:sz w:val="24"/>
              </w:rPr>
              <w:t>7.</w:t>
            </w:r>
            <w:r>
              <w:rPr>
                <w:rFonts w:hint="eastAsia" w:ascii="仿宋" w:hAnsi="仿宋" w:eastAsia="仿宋" w:cs="仿宋"/>
                <w:sz w:val="24"/>
              </w:rPr>
              <w:t>研讨交流：</w:t>
            </w:r>
            <w:r>
              <w:rPr>
                <w:rFonts w:hint="eastAsia" w:ascii="仿宋" w:hAnsi="仿宋" w:eastAsia="仿宋"/>
                <w:sz w:val="24"/>
              </w:rPr>
              <w:t>财产行为税在工作中的痛点、难点问题及如何处理</w:t>
            </w:r>
          </w:p>
        </w:tc>
        <w:tc>
          <w:tcPr>
            <w:tcW w:w="1331" w:type="dxa"/>
            <w:tcBorders>
              <w:tl2br w:val="nil"/>
              <w:tr2bl w:val="nil"/>
            </w:tcBorders>
            <w:vAlign w:val="center"/>
          </w:tcPr>
          <w:p>
            <w:pPr>
              <w:snapToGrid w:val="0"/>
              <w:spacing w:line="360" w:lineRule="exact"/>
              <w:jc w:val="center"/>
              <w:rPr>
                <w:rFonts w:hint="eastAsia" w:ascii="仿宋" w:hAnsi="仿宋" w:eastAsia="仿宋"/>
                <w:sz w:val="24"/>
              </w:rPr>
            </w:pPr>
            <w:r>
              <w:rPr>
                <w:rFonts w:ascii="仿宋" w:hAnsi="仿宋" w:eastAsia="仿宋"/>
                <w:sz w:val="24"/>
              </w:rPr>
              <w:t>0.5</w:t>
            </w:r>
          </w:p>
        </w:tc>
        <w:tc>
          <w:tcPr>
            <w:tcW w:w="1512" w:type="dxa"/>
            <w:tcBorders>
              <w:tl2br w:val="nil"/>
              <w:tr2bl w:val="nil"/>
            </w:tcBorders>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校内教师</w:t>
            </w:r>
          </w:p>
        </w:tc>
        <w:tc>
          <w:tcPr>
            <w:tcW w:w="1441" w:type="dxa"/>
            <w:tcBorders>
              <w:tl2br w:val="nil"/>
              <w:tr2bl w:val="nil"/>
            </w:tcBorders>
            <w:vAlign w:val="center"/>
          </w:tcPr>
          <w:p>
            <w:pPr>
              <w:snapToGrid w:val="0"/>
              <w:spacing w:line="360" w:lineRule="exact"/>
              <w:jc w:val="center"/>
              <w:rPr>
                <w:rFonts w:hint="eastAsia" w:ascii="仿宋" w:hAnsi="仿宋" w:eastAsia="仿宋"/>
                <w:sz w:val="24"/>
              </w:rPr>
            </w:pPr>
            <w:r>
              <w:rPr>
                <w:rFonts w:hint="eastAsia" w:ascii="仿宋" w:hAnsi="仿宋" w:eastAsia="仿宋"/>
                <w:sz w:val="24"/>
              </w:rPr>
              <w:t>研讨式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jc w:val="center"/>
        </w:trPr>
        <w:tc>
          <w:tcPr>
            <w:tcW w:w="1476" w:type="dxa"/>
            <w:tcBorders>
              <w:tl2br w:val="nil"/>
              <w:tr2bl w:val="nil"/>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非课程环节（</w:t>
            </w:r>
            <w:r>
              <w:rPr>
                <w:rFonts w:ascii="仿宋" w:hAnsi="仿宋" w:eastAsia="仿宋" w:cs="仿宋"/>
                <w:b/>
                <w:sz w:val="24"/>
              </w:rPr>
              <w:t>2</w:t>
            </w:r>
            <w:r>
              <w:rPr>
                <w:rFonts w:hint="eastAsia" w:ascii="仿宋" w:hAnsi="仿宋" w:eastAsia="仿宋" w:cs="仿宋"/>
                <w:b/>
                <w:sz w:val="24"/>
              </w:rPr>
              <w:t>天）</w:t>
            </w:r>
          </w:p>
        </w:tc>
        <w:tc>
          <w:tcPr>
            <w:tcW w:w="3196" w:type="dxa"/>
            <w:tcBorders>
              <w:tl2br w:val="nil"/>
              <w:tr2bl w:val="nil"/>
            </w:tcBorders>
            <w:vAlign w:val="center"/>
          </w:tcPr>
          <w:p>
            <w:pPr>
              <w:snapToGrid w:val="0"/>
              <w:spacing w:line="360" w:lineRule="exact"/>
              <w:rPr>
                <w:rFonts w:hint="eastAsia" w:ascii="仿宋" w:hAnsi="仿宋" w:eastAsia="仿宋"/>
                <w:sz w:val="24"/>
              </w:rPr>
            </w:pPr>
            <w:r>
              <w:rPr>
                <w:rFonts w:ascii="仿宋" w:hAnsi="仿宋" w:eastAsia="仿宋"/>
                <w:sz w:val="24"/>
              </w:rPr>
              <w:t>1.</w:t>
            </w:r>
            <w:r>
              <w:rPr>
                <w:rFonts w:hint="eastAsia" w:ascii="仿宋" w:hAnsi="仿宋" w:eastAsia="仿宋"/>
                <w:sz w:val="24"/>
              </w:rPr>
              <w:t>报到、返程</w:t>
            </w:r>
          </w:p>
        </w:tc>
        <w:tc>
          <w:tcPr>
            <w:tcW w:w="1331" w:type="dxa"/>
            <w:tcBorders>
              <w:tl2br w:val="nil"/>
              <w:tr2bl w:val="nil"/>
            </w:tcBorders>
            <w:vAlign w:val="center"/>
          </w:tcPr>
          <w:p>
            <w:pPr>
              <w:snapToGrid w:val="0"/>
              <w:spacing w:line="360" w:lineRule="exact"/>
              <w:jc w:val="center"/>
              <w:rPr>
                <w:rFonts w:hint="eastAsia" w:ascii="仿宋" w:hAnsi="仿宋" w:eastAsia="仿宋" w:cs="仿宋"/>
                <w:sz w:val="24"/>
              </w:rPr>
            </w:pPr>
            <w:r>
              <w:rPr>
                <w:rFonts w:ascii="仿宋" w:hAnsi="仿宋" w:eastAsia="仿宋" w:cs="仿宋"/>
                <w:sz w:val="24"/>
              </w:rPr>
              <w:t>2</w:t>
            </w:r>
          </w:p>
        </w:tc>
        <w:tc>
          <w:tcPr>
            <w:tcW w:w="1512" w:type="dxa"/>
            <w:tcBorders>
              <w:tl2br w:val="nil"/>
              <w:tr2bl w:val="nil"/>
            </w:tcBorders>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总务处</w:t>
            </w:r>
          </w:p>
        </w:tc>
        <w:tc>
          <w:tcPr>
            <w:tcW w:w="1441" w:type="dxa"/>
            <w:tcBorders>
              <w:tl2br w:val="nil"/>
              <w:tr2bl w:val="nil"/>
            </w:tcBorders>
          </w:tcPr>
          <w:p>
            <w:pPr>
              <w:spacing w:line="360" w:lineRule="exact"/>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72" w:type="dxa"/>
            <w:gridSpan w:val="2"/>
            <w:tcBorders>
              <w:tl2br w:val="nil"/>
              <w:tr2bl w:val="nil"/>
            </w:tcBorders>
          </w:tcPr>
          <w:p>
            <w:pPr>
              <w:snapToGrid w:val="0"/>
              <w:spacing w:line="360" w:lineRule="exact"/>
              <w:jc w:val="center"/>
              <w:rPr>
                <w:rFonts w:hint="eastAsia" w:ascii="仿宋" w:hAnsi="仿宋" w:eastAsia="仿宋" w:cs="仿宋"/>
                <w:sz w:val="24"/>
              </w:rPr>
            </w:pPr>
            <w:r>
              <w:rPr>
                <w:rFonts w:hint="eastAsia" w:ascii="仿宋" w:hAnsi="仿宋" w:eastAsia="仿宋" w:cs="仿宋"/>
                <w:b/>
                <w:bCs/>
                <w:sz w:val="24"/>
              </w:rPr>
              <w:t>合计</w:t>
            </w:r>
          </w:p>
        </w:tc>
        <w:tc>
          <w:tcPr>
            <w:tcW w:w="4284" w:type="dxa"/>
            <w:gridSpan w:val="3"/>
            <w:tcBorders>
              <w:tl2br w:val="nil"/>
              <w:tr2bl w:val="nil"/>
            </w:tcBorders>
            <w:vAlign w:val="center"/>
          </w:tcPr>
          <w:p>
            <w:pPr>
              <w:snapToGrid w:val="0"/>
              <w:spacing w:line="360" w:lineRule="exact"/>
              <w:jc w:val="center"/>
              <w:rPr>
                <w:rFonts w:hint="eastAsia" w:ascii="仿宋" w:hAnsi="仿宋" w:eastAsia="仿宋" w:cs="仿宋"/>
                <w:sz w:val="24"/>
              </w:rPr>
            </w:pPr>
            <w:r>
              <w:rPr>
                <w:rFonts w:ascii="仿宋" w:hAnsi="仿宋" w:eastAsia="仿宋" w:cs="仿宋"/>
                <w:sz w:val="24"/>
              </w:rPr>
              <w:t>7</w:t>
            </w:r>
          </w:p>
        </w:tc>
      </w:tr>
    </w:tbl>
    <w:p>
      <w:pPr>
        <w:snapToGrid w:val="0"/>
        <w:spacing w:line="360" w:lineRule="auto"/>
        <w:rPr>
          <w:rFonts w:hint="eastAsia" w:ascii="仿宋" w:hAnsi="仿宋" w:eastAsia="仿宋" w:cs="仿宋"/>
          <w:sz w:val="32"/>
          <w:szCs w:val="32"/>
        </w:rPr>
      </w:pPr>
    </w:p>
    <w:p>
      <w:pPr>
        <w:rPr>
          <w:rFonts w:hint="eastAsia" w:ascii="黑体" w:hAnsi="黑体" w:eastAsia="黑体"/>
          <w:sz w:val="32"/>
          <w:szCs w:val="32"/>
        </w:rPr>
      </w:pPr>
      <w:r>
        <w:rPr>
          <w:rFonts w:hint="eastAsia" w:ascii="黑体" w:hAnsi="黑体" w:eastAsia="黑体"/>
          <w:sz w:val="32"/>
          <w:szCs w:val="32"/>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B07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2025-01-06T07:37:52Z</dcterms:created>
  <dc:creator>Administrator</dc:creator>
  <cp:lastModifiedBy>Administrator</cp:lastModifiedBy>
  <dcterms:modified xsi:type="dcterms:W3CDTF">2025-01-06T07:38:00Z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