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税务系统青年干部写作能力提升培训班</w:t>
      </w:r>
    </w:p>
    <w:bookmarkEnd w:id="0"/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深入贯彻习近平总书记关于青年工作的重要思想，落实国家税务总局《深入推进税务青年工作高质量发展三年行动计划（2023-2025）》的部署和要求，提高青年干部写作能力，提高行政工作绩效，策划本期培训班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税务系统青年干部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通过培训，使青年税务干部能够理清写作思路、掌握不同文稿写作要领，从而把好写作的政治关、政策关、事实关、格式关、语言关，切实提升写作能力和写作水平。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在校培训时间共8天，其中课程环节6天，非课程环节2天。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课程设置</w:t>
      </w:r>
    </w:p>
    <w:tbl>
      <w:tblPr>
        <w:tblStyle w:val="2"/>
        <w:tblW w:w="88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3560"/>
        <w:gridCol w:w="1264"/>
        <w:gridCol w:w="125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（2.5天）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1.党的创新理论在写作中的理解与运用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2.综合文稿写作实务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1.0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3.工作汇报写作技巧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0.5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4.公文写作的规则与要求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.5天）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color w:val="36363D"/>
                <w:sz w:val="24"/>
              </w:rPr>
              <w:t>1.结构思考与逻辑表达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2.文学素养的提升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0.5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校内教师 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hAnsi="宋体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36363D"/>
                <w:sz w:val="24"/>
              </w:rPr>
              <w:t>3.学员培训学习作品交流与展示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7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/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FBB24B"/>
    <w:multiLevelType w:val="singleLevel"/>
    <w:tmpl w:val="AEFBB24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8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2025-01-06T08:31:17Z</dcterms:created>
  <dc:creator>Administrator</dc:creator>
  <cp:lastModifiedBy>Administrator</cp:lastModifiedBy>
  <dcterms:modified xsi:type="dcterms:W3CDTF">2025-01-06T08:31:42Z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