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33"/>
        </w:tabs>
        <w:spacing w:line="360" w:lineRule="auto"/>
        <w:jc w:val="center"/>
        <w:rPr>
          <w:rFonts w:hint="eastAsia" w:ascii="黑体" w:hAnsi="黑体" w:eastAsia="黑体"/>
          <w:sz w:val="32"/>
          <w:szCs w:val="32"/>
        </w:rPr>
      </w:pPr>
      <w:bookmarkStart w:id="0" w:name="_GoBack"/>
      <w:r>
        <w:rPr>
          <w:rFonts w:hint="eastAsia" w:ascii="黑体" w:hAnsi="黑体" w:eastAsia="黑体"/>
          <w:sz w:val="32"/>
          <w:szCs w:val="32"/>
        </w:rPr>
        <w:t>税务系统人事干部业务能力提升培训班</w:t>
      </w:r>
    </w:p>
    <w:bookmarkEnd w:id="0"/>
    <w:p>
      <w:pPr>
        <w:tabs>
          <w:tab w:val="left" w:pos="3233"/>
        </w:tabs>
        <w:spacing w:after="156" w:afterLines="50" w:line="360" w:lineRule="auto"/>
        <w:jc w:val="center"/>
        <w:rPr>
          <w:rFonts w:hint="eastAsia" w:ascii="黑体" w:hAnsi="黑体" w:eastAsia="黑体"/>
          <w:sz w:val="32"/>
          <w:szCs w:val="32"/>
        </w:rPr>
      </w:pPr>
      <w:r>
        <w:rPr>
          <w:rFonts w:ascii="黑体" w:hAnsi="黑体" w:eastAsia="黑体"/>
          <w:sz w:val="32"/>
          <w:szCs w:val="32"/>
        </w:rPr>
        <w:t>项目计划书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为更好贯彻新时代党的组织路线，为税务机关建设和税收事业高质量发展提供坚强有力的人才保证和支撑，针对税务系统人事干部业务能力提升，策划本期培训班。</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一、培训对象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税务系统各省、市人事处（科）业务干部</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二、培训目标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通过培训，使学员在了解战略人力资源管理理念基础上，熟练掌握机关人事管理制度规定及工作实务，强化人事管理业务能力和水平，提升人事管理工作质效，为组织战略发展提供人力资源保障。</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三、培训时间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在校培训时间共7天，其中课程环节5天，非课程环节2天。</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四、课程设置</w:t>
      </w:r>
    </w:p>
    <w:tbl>
      <w:tblPr>
        <w:tblStyle w:val="2"/>
        <w:tblW w:w="877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3560"/>
        <w:gridCol w:w="1275"/>
        <w:gridCol w:w="1245"/>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422"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模 块</w:t>
            </w:r>
          </w:p>
        </w:tc>
        <w:tc>
          <w:tcPr>
            <w:tcW w:w="3560"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培训内容</w:t>
            </w:r>
          </w:p>
        </w:tc>
        <w:tc>
          <w:tcPr>
            <w:tcW w:w="1275"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课时（天）</w:t>
            </w:r>
          </w:p>
        </w:tc>
        <w:tc>
          <w:tcPr>
            <w:tcW w:w="1245"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276"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422" w:type="dxa"/>
            <w:vMerge w:val="restart"/>
            <w:tcBorders>
              <w:tl2br w:val="nil"/>
              <w:tr2bl w:val="nil"/>
            </w:tcBorders>
            <w:vAlign w:val="center"/>
          </w:tcPr>
          <w:p>
            <w:pPr>
              <w:snapToGrid w:val="0"/>
              <w:spacing w:line="360" w:lineRule="exact"/>
              <w:ind w:left="118" w:hanging="118" w:hangingChars="49"/>
              <w:jc w:val="center"/>
              <w:rPr>
                <w:rFonts w:hint="eastAsia" w:ascii="仿宋" w:hAnsi="仿宋" w:eastAsia="仿宋" w:cs="仿宋"/>
                <w:b/>
                <w:sz w:val="24"/>
              </w:rPr>
            </w:pPr>
            <w:r>
              <w:rPr>
                <w:rFonts w:hint="eastAsia" w:ascii="仿宋" w:hAnsi="仿宋" w:eastAsia="仿宋" w:cs="仿宋"/>
                <w:b/>
                <w:sz w:val="24"/>
              </w:rPr>
              <w:t>党的理论</w:t>
            </w:r>
          </w:p>
          <w:p>
            <w:pPr>
              <w:snapToGrid w:val="0"/>
              <w:spacing w:line="360" w:lineRule="exact"/>
              <w:ind w:left="118" w:hanging="118" w:hangingChars="49"/>
              <w:jc w:val="center"/>
              <w:rPr>
                <w:rFonts w:hint="eastAsia" w:ascii="仿宋" w:hAnsi="仿宋" w:eastAsia="仿宋" w:cs="仿宋"/>
                <w:b/>
                <w:sz w:val="24"/>
              </w:rPr>
            </w:pPr>
            <w:r>
              <w:rPr>
                <w:rFonts w:hint="eastAsia" w:ascii="仿宋" w:hAnsi="仿宋" w:eastAsia="仿宋" w:cs="仿宋"/>
                <w:b/>
                <w:sz w:val="24"/>
              </w:rPr>
              <w:t>与党性教育</w:t>
            </w:r>
          </w:p>
          <w:p>
            <w:pPr>
              <w:snapToGrid w:val="0"/>
              <w:spacing w:line="360" w:lineRule="exact"/>
              <w:ind w:left="118" w:hanging="118" w:hangingChars="49"/>
              <w:jc w:val="center"/>
              <w:rPr>
                <w:rFonts w:hint="eastAsia" w:ascii="仿宋" w:hAnsi="仿宋" w:eastAsia="仿宋" w:cs="仿宋"/>
                <w:b/>
                <w:sz w:val="24"/>
              </w:rPr>
            </w:pPr>
            <w:r>
              <w:rPr>
                <w:rFonts w:hint="eastAsia" w:ascii="仿宋" w:hAnsi="仿宋" w:eastAsia="仿宋" w:cs="仿宋"/>
                <w:b/>
                <w:sz w:val="24"/>
              </w:rPr>
              <w:t>（1天）</w:t>
            </w:r>
          </w:p>
        </w:tc>
        <w:tc>
          <w:tcPr>
            <w:tcW w:w="3560" w:type="dxa"/>
            <w:tcBorders>
              <w:tl2br w:val="nil"/>
              <w:tr2bl w:val="nil"/>
            </w:tcBorders>
            <w:vAlign w:val="center"/>
          </w:tcPr>
          <w:p>
            <w:pPr>
              <w:spacing w:line="360" w:lineRule="exact"/>
              <w:jc w:val="left"/>
              <w:rPr>
                <w:rFonts w:hint="eastAsia" w:ascii="仿宋" w:hAnsi="仿宋" w:eastAsia="仿宋"/>
                <w:sz w:val="24"/>
              </w:rPr>
            </w:pPr>
            <w:r>
              <w:rPr>
                <w:rFonts w:hint="eastAsia" w:ascii="仿宋" w:hAnsi="仿宋" w:eastAsia="仿宋"/>
                <w:sz w:val="24"/>
              </w:rPr>
              <w:t>1.党的理论与党性教育相关课程</w:t>
            </w:r>
          </w:p>
        </w:tc>
        <w:tc>
          <w:tcPr>
            <w:tcW w:w="1275"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45"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422" w:type="dxa"/>
            <w:vMerge w:val="continue"/>
            <w:tcBorders>
              <w:tl2br w:val="nil"/>
              <w:tr2bl w:val="nil"/>
            </w:tcBorders>
            <w:vAlign w:val="center"/>
          </w:tcPr>
          <w:p>
            <w:pPr>
              <w:snapToGrid w:val="0"/>
              <w:spacing w:line="360" w:lineRule="exact"/>
              <w:ind w:left="118" w:hanging="118" w:hangingChars="49"/>
              <w:jc w:val="center"/>
              <w:rPr>
                <w:rFonts w:hint="eastAsia" w:ascii="仿宋" w:hAnsi="仿宋" w:eastAsia="仿宋" w:cs="仿宋"/>
                <w:b/>
                <w:sz w:val="24"/>
              </w:rPr>
            </w:pPr>
          </w:p>
        </w:tc>
        <w:tc>
          <w:tcPr>
            <w:tcW w:w="3560" w:type="dxa"/>
            <w:tcBorders>
              <w:tl2br w:val="nil"/>
              <w:tr2bl w:val="nil"/>
            </w:tcBorders>
            <w:vAlign w:val="center"/>
          </w:tcPr>
          <w:p>
            <w:pPr>
              <w:spacing w:line="360" w:lineRule="exact"/>
              <w:jc w:val="left"/>
              <w:rPr>
                <w:rFonts w:hint="eastAsia" w:ascii="仿宋" w:hAnsi="仿宋" w:eastAsia="仿宋"/>
                <w:sz w:val="24"/>
              </w:rPr>
            </w:pPr>
            <w:r>
              <w:rPr>
                <w:rFonts w:hint="eastAsia" w:ascii="仿宋" w:hAnsi="仿宋" w:eastAsia="仿宋"/>
                <w:sz w:val="24"/>
              </w:rPr>
              <w:t>2.主题党日活动</w:t>
            </w:r>
          </w:p>
        </w:tc>
        <w:tc>
          <w:tcPr>
            <w:tcW w:w="1275"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45"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22" w:type="dxa"/>
            <w:vMerge w:val="restart"/>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核心业务</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（2.5天）</w:t>
            </w:r>
          </w:p>
        </w:tc>
        <w:tc>
          <w:tcPr>
            <w:tcW w:w="3560" w:type="dxa"/>
            <w:tcBorders>
              <w:tl2br w:val="nil"/>
              <w:tr2bl w:val="nil"/>
            </w:tcBorders>
            <w:vAlign w:val="center"/>
          </w:tcPr>
          <w:p>
            <w:pPr>
              <w:spacing w:line="360" w:lineRule="exact"/>
              <w:rPr>
                <w:rFonts w:hint="eastAsia" w:ascii="仿宋" w:hAnsi="仿宋" w:eastAsia="仿宋"/>
                <w:sz w:val="24"/>
              </w:rPr>
            </w:pPr>
            <w:r>
              <w:rPr>
                <w:rFonts w:ascii="仿宋" w:hAnsi="仿宋" w:eastAsia="仿宋"/>
                <w:sz w:val="24"/>
              </w:rPr>
              <w:t>1.习近平总书记关于人才工作的重要论述</w:t>
            </w:r>
          </w:p>
        </w:tc>
        <w:tc>
          <w:tcPr>
            <w:tcW w:w="1275"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bCs/>
                <w:sz w:val="24"/>
              </w:rPr>
              <w:t>0.5</w:t>
            </w:r>
          </w:p>
        </w:tc>
        <w:tc>
          <w:tcPr>
            <w:tcW w:w="1245"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276"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bCs/>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22"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vAlign w:val="center"/>
          </w:tcPr>
          <w:p>
            <w:pPr>
              <w:snapToGrid w:val="0"/>
              <w:spacing w:line="360" w:lineRule="exact"/>
              <w:rPr>
                <w:rFonts w:hint="eastAsia" w:ascii="仿宋" w:hAnsi="仿宋" w:eastAsia="仿宋"/>
                <w:sz w:val="24"/>
              </w:rPr>
            </w:pPr>
            <w:r>
              <w:rPr>
                <w:rFonts w:hint="eastAsia" w:ascii="仿宋" w:hAnsi="仿宋" w:eastAsia="仿宋" w:cs="仿宋"/>
                <w:sz w:val="24"/>
              </w:rPr>
              <w:t>2.党政领导干部选任、考核与监督管理</w:t>
            </w:r>
          </w:p>
        </w:tc>
        <w:tc>
          <w:tcPr>
            <w:tcW w:w="1275"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245"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276"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422"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vAlign w:val="center"/>
          </w:tcPr>
          <w:p>
            <w:pPr>
              <w:snapToGrid w:val="0"/>
              <w:spacing w:line="360" w:lineRule="exact"/>
              <w:rPr>
                <w:rFonts w:hint="eastAsia" w:ascii="仿宋" w:hAnsi="仿宋" w:eastAsia="仿宋"/>
                <w:sz w:val="24"/>
              </w:rPr>
            </w:pPr>
            <w:r>
              <w:rPr>
                <w:rFonts w:hint="eastAsia" w:ascii="仿宋" w:hAnsi="仿宋" w:eastAsia="仿宋" w:cs="仿宋"/>
                <w:sz w:val="24"/>
              </w:rPr>
              <w:t>3.</w:t>
            </w:r>
            <w:r>
              <w:rPr>
                <w:rFonts w:hint="eastAsia" w:ascii="仿宋" w:hAnsi="仿宋" w:eastAsia="仿宋" w:cs="仿宋"/>
                <w:bCs/>
                <w:sz w:val="24"/>
              </w:rPr>
              <w:t>人才测评方法与技术</w:t>
            </w:r>
          </w:p>
        </w:tc>
        <w:tc>
          <w:tcPr>
            <w:tcW w:w="1275"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245"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外聘教师</w:t>
            </w:r>
          </w:p>
        </w:tc>
        <w:tc>
          <w:tcPr>
            <w:tcW w:w="1276"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22"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vAlign w:val="center"/>
          </w:tcPr>
          <w:p>
            <w:pPr>
              <w:snapToGrid w:val="0"/>
              <w:spacing w:line="360" w:lineRule="exact"/>
              <w:rPr>
                <w:rFonts w:hint="eastAsia" w:ascii="仿宋" w:hAnsi="仿宋" w:eastAsia="仿宋"/>
                <w:sz w:val="24"/>
              </w:rPr>
            </w:pPr>
            <w:r>
              <w:rPr>
                <w:rFonts w:hint="eastAsia" w:ascii="仿宋" w:hAnsi="仿宋" w:eastAsia="仿宋" w:cs="仿宋"/>
                <w:bCs/>
                <w:sz w:val="24"/>
              </w:rPr>
              <w:t>4.职务与职级并行制度相关内容解读</w:t>
            </w:r>
          </w:p>
        </w:tc>
        <w:tc>
          <w:tcPr>
            <w:tcW w:w="1275"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bCs/>
                <w:sz w:val="24"/>
              </w:rPr>
              <w:t>0.5</w:t>
            </w:r>
          </w:p>
        </w:tc>
        <w:tc>
          <w:tcPr>
            <w:tcW w:w="1245"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外聘教师</w:t>
            </w:r>
          </w:p>
        </w:tc>
        <w:tc>
          <w:tcPr>
            <w:tcW w:w="1276"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bCs/>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422"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vAlign w:val="center"/>
          </w:tcPr>
          <w:p>
            <w:pPr>
              <w:snapToGrid w:val="0"/>
              <w:spacing w:line="360" w:lineRule="exact"/>
              <w:rPr>
                <w:rFonts w:hint="eastAsia" w:ascii="仿宋" w:hAnsi="仿宋" w:eastAsia="仿宋"/>
                <w:sz w:val="24"/>
              </w:rPr>
            </w:pPr>
            <w:r>
              <w:rPr>
                <w:rFonts w:hint="eastAsia" w:ascii="仿宋" w:hAnsi="仿宋" w:eastAsia="仿宋" w:cs="仿宋"/>
                <w:sz w:val="24"/>
              </w:rPr>
              <w:t>5.分组研讨：做好人事工作的难点及经验</w:t>
            </w:r>
          </w:p>
        </w:tc>
        <w:tc>
          <w:tcPr>
            <w:tcW w:w="1275"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245"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22" w:type="dxa"/>
            <w:vMerge w:val="restart"/>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相关业务</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1</w:t>
            </w:r>
            <w:r>
              <w:rPr>
                <w:rFonts w:hint="eastAsia" w:ascii="仿宋" w:hAnsi="仿宋" w:eastAsia="仿宋" w:cs="仿宋"/>
                <w:b/>
                <w:sz w:val="24"/>
              </w:rPr>
              <w:t>.5天）</w:t>
            </w:r>
          </w:p>
        </w:tc>
        <w:tc>
          <w:tcPr>
            <w:tcW w:w="3560" w:type="dxa"/>
            <w:tcBorders>
              <w:tl2br w:val="nil"/>
              <w:tr2bl w:val="nil"/>
            </w:tcBorders>
            <w:vAlign w:val="center"/>
          </w:tcPr>
          <w:p>
            <w:pPr>
              <w:snapToGrid w:val="0"/>
              <w:spacing w:line="360" w:lineRule="exact"/>
              <w:rPr>
                <w:rFonts w:hint="eastAsia" w:ascii="仿宋" w:hAnsi="仿宋" w:eastAsia="仿宋"/>
                <w:sz w:val="24"/>
              </w:rPr>
            </w:pPr>
            <w:r>
              <w:rPr>
                <w:rFonts w:hint="eastAsia" w:ascii="仿宋" w:hAnsi="仿宋" w:eastAsia="仿宋" w:cs="仿宋"/>
                <w:sz w:val="24"/>
              </w:rPr>
              <w:t>1.自我管理——提升税务干部个人绩效的基石</w:t>
            </w:r>
          </w:p>
        </w:tc>
        <w:tc>
          <w:tcPr>
            <w:tcW w:w="1275"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245"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22"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vAlign w:val="center"/>
          </w:tcPr>
          <w:p>
            <w:pPr>
              <w:snapToGrid w:val="0"/>
              <w:spacing w:line="360" w:lineRule="exact"/>
              <w:rPr>
                <w:rFonts w:hint="eastAsia" w:ascii="仿宋" w:hAnsi="仿宋" w:eastAsia="仿宋"/>
                <w:sz w:val="24"/>
              </w:rPr>
            </w:pPr>
            <w:r>
              <w:rPr>
                <w:rFonts w:hint="eastAsia" w:ascii="仿宋" w:hAnsi="仿宋" w:eastAsia="仿宋" w:cs="仿宋"/>
                <w:sz w:val="24"/>
              </w:rPr>
              <w:t>2.提高人事干部的信息素养与能力</w:t>
            </w:r>
          </w:p>
        </w:tc>
        <w:tc>
          <w:tcPr>
            <w:tcW w:w="1275"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245"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22"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shd w:val="clear" w:color="auto" w:fill="auto"/>
            <w:vAlign w:val="center"/>
          </w:tcPr>
          <w:p>
            <w:pPr>
              <w:widowControl/>
              <w:spacing w:line="360" w:lineRule="exact"/>
              <w:textAlignment w:val="center"/>
              <w:rPr>
                <w:rFonts w:hint="eastAsia" w:ascii="宋体" w:hAnsi="宋体" w:cs="宋体"/>
                <w:color w:val="000000"/>
                <w:sz w:val="24"/>
              </w:rPr>
            </w:pPr>
            <w:r>
              <w:rPr>
                <w:rFonts w:hint="eastAsia" w:ascii="仿宋" w:hAnsi="仿宋" w:eastAsia="仿宋" w:cs="仿宋"/>
                <w:sz w:val="24"/>
              </w:rPr>
              <w:t>3.坚定不移走中国人权发展道路 更好推动我国人权事业发展——学习领会习近平总书记在中央政治局第三十七次集体学习中的重要讲话精神</w:t>
            </w:r>
          </w:p>
        </w:tc>
        <w:tc>
          <w:tcPr>
            <w:tcW w:w="1275"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0.5</w:t>
            </w:r>
          </w:p>
        </w:tc>
        <w:tc>
          <w:tcPr>
            <w:tcW w:w="1245"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cs="仿宋"/>
                <w:sz w:val="24"/>
              </w:rPr>
              <w:t>学习兴税——标课</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自主学习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22"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非课程环节</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（2天）</w:t>
            </w:r>
          </w:p>
        </w:tc>
        <w:tc>
          <w:tcPr>
            <w:tcW w:w="3560"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1.报到、返程</w:t>
            </w:r>
          </w:p>
        </w:tc>
        <w:tc>
          <w:tcPr>
            <w:tcW w:w="1275"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1245"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总务处</w:t>
            </w:r>
          </w:p>
        </w:tc>
        <w:tc>
          <w:tcPr>
            <w:tcW w:w="1276" w:type="dxa"/>
            <w:tcBorders>
              <w:tl2br w:val="nil"/>
              <w:tr2bl w:val="nil"/>
            </w:tcBorders>
            <w:vAlign w:val="center"/>
          </w:tcPr>
          <w:p>
            <w:pPr>
              <w:spacing w:line="360" w:lineRule="exact"/>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4982" w:type="dxa"/>
            <w:gridSpan w:val="2"/>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合计</w:t>
            </w:r>
          </w:p>
        </w:tc>
        <w:tc>
          <w:tcPr>
            <w:tcW w:w="3796" w:type="dxa"/>
            <w:gridSpan w:val="3"/>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7</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F3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2025-01-06T08:28:09Z</dcterms:created>
  <dc:creator>Administrator</dc:creator>
  <cp:lastModifiedBy>Administrator</cp:lastModifiedBy>
  <dcterms:modified xsi:type="dcterms:W3CDTF">2025-01-06T08:28:24Z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