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33"/>
        </w:tabs>
        <w:spacing w:line="360" w:lineRule="auto"/>
        <w:jc w:val="center"/>
        <w:rPr>
          <w:rFonts w:hint="eastAsia" w:ascii="黑体" w:hAnsi="黑体" w:eastAsia="黑体"/>
          <w:sz w:val="32"/>
          <w:szCs w:val="32"/>
        </w:rPr>
      </w:pPr>
      <w:bookmarkStart w:id="0" w:name="_GoBack"/>
      <w:r>
        <w:rPr>
          <w:rFonts w:hint="eastAsia" w:ascii="黑体" w:hAnsi="黑体" w:eastAsia="黑体"/>
          <w:sz w:val="32"/>
          <w:szCs w:val="32"/>
        </w:rPr>
        <w:t>依法打击涉税违法犯罪相关法律业务能力提升培训班</w:t>
      </w:r>
    </w:p>
    <w:bookmarkEnd w:id="0"/>
    <w:p>
      <w:pPr>
        <w:tabs>
          <w:tab w:val="left" w:pos="3233"/>
        </w:tabs>
        <w:spacing w:after="156" w:afterLines="50" w:line="360" w:lineRule="auto"/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项目计划书 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2024年3月，最高人民法院、最高人民检察院联合印发《关于办理危害税收征管刑事案件适用法律若干问题的解释》（法释〔2024〕4号），涉税刑事司法解释既是打击涉税犯罪的法律依据，又是税收执法和“行刑衔接”工作的制度保障。2024年7月，党的二十届三中全会通过的《中共中央关于进一步全面深化改革、推进中国式现代化的决定》对深入推进依法行政、健全公正执法司法体制机制作出重要部署。深入推进依法行政要求完善行政处罚等领域行政裁量权基准制度，完善行政处罚和刑事处罚双向衔接制度等。</w:t>
      </w:r>
    </w:p>
    <w:p>
      <w:pPr>
        <w:adjustRightInd w:val="0"/>
        <w:snapToGrid w:val="0"/>
        <w:spacing w:line="360" w:lineRule="auto"/>
        <w:ind w:firstLine="562" w:firstLineChars="200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 xml:space="preserve">一、培训对象 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税务稽查条线全体干部</w:t>
      </w:r>
    </w:p>
    <w:p>
      <w:pPr>
        <w:adjustRightInd w:val="0"/>
        <w:snapToGrid w:val="0"/>
        <w:spacing w:line="360" w:lineRule="auto"/>
        <w:ind w:firstLine="562" w:firstLineChars="200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 xml:space="preserve">二、培训目标 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通过培训，使学员夯实打击涉税违法犯罪的法律基础，进一步规范执法行为，持续优化执法方式，对各类涉税违法行为特别是职业化、团伙式违法犯罪分子，依法精准打击，有力维护公平公正的经济税收秩序，全力服务高质量发展，为依法治税和法治中国建设提供更加有力有效的法制保障。</w:t>
      </w:r>
    </w:p>
    <w:p>
      <w:pPr>
        <w:adjustRightInd w:val="0"/>
        <w:snapToGrid w:val="0"/>
        <w:spacing w:line="360" w:lineRule="auto"/>
        <w:ind w:firstLine="562" w:firstLineChars="200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三、培训时间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在校培训时间共8天，其中课程环节6天，非课程环节 2天。</w:t>
      </w:r>
    </w:p>
    <w:p>
      <w:pPr>
        <w:adjustRightInd w:val="0"/>
        <w:snapToGrid w:val="0"/>
        <w:spacing w:line="360" w:lineRule="auto"/>
        <w:ind w:firstLine="562" w:firstLineChars="200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四、课程设置</w:t>
      </w:r>
    </w:p>
    <w:tbl>
      <w:tblPr>
        <w:tblStyle w:val="2"/>
        <w:tblW w:w="8832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2"/>
        <w:gridCol w:w="3404"/>
        <w:gridCol w:w="1386"/>
        <w:gridCol w:w="1276"/>
        <w:gridCol w:w="133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432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模 块</w:t>
            </w:r>
          </w:p>
        </w:tc>
        <w:tc>
          <w:tcPr>
            <w:tcW w:w="340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培训内容</w:t>
            </w:r>
          </w:p>
        </w:tc>
        <w:tc>
          <w:tcPr>
            <w:tcW w:w="1386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课时（天）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拟聘师资</w:t>
            </w:r>
          </w:p>
        </w:tc>
        <w:tc>
          <w:tcPr>
            <w:tcW w:w="133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教学方法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432" w:type="dxa"/>
            <w:vMerge w:val="restart"/>
            <w:vAlign w:val="center"/>
          </w:tcPr>
          <w:p>
            <w:pPr>
              <w:snapToGrid w:val="0"/>
              <w:spacing w:line="360" w:lineRule="exact"/>
              <w:ind w:left="118" w:hanging="118" w:hangingChars="49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党的理论</w:t>
            </w:r>
          </w:p>
          <w:p>
            <w:pPr>
              <w:snapToGrid w:val="0"/>
              <w:spacing w:line="360" w:lineRule="exact"/>
              <w:ind w:left="118" w:hanging="118" w:hangingChars="49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与党性教育</w:t>
            </w:r>
          </w:p>
          <w:p>
            <w:pPr>
              <w:snapToGrid w:val="0"/>
              <w:spacing w:line="360" w:lineRule="exact"/>
              <w:ind w:left="118" w:hanging="118" w:hangingChars="49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（</w:t>
            </w:r>
            <w:r>
              <w:rPr>
                <w:rFonts w:ascii="仿宋" w:hAnsi="仿宋" w:eastAsia="仿宋" w:cs="仿宋"/>
                <w:b/>
                <w:sz w:val="24"/>
              </w:rPr>
              <w:t>1.5</w:t>
            </w:r>
            <w:r>
              <w:rPr>
                <w:rFonts w:hint="eastAsia" w:ascii="仿宋" w:hAnsi="仿宋" w:eastAsia="仿宋" w:cs="仿宋"/>
                <w:b/>
                <w:sz w:val="24"/>
              </w:rPr>
              <w:t>天）</w:t>
            </w:r>
          </w:p>
        </w:tc>
        <w:tc>
          <w:tcPr>
            <w:tcW w:w="3404" w:type="dxa"/>
            <w:vAlign w:val="center"/>
          </w:tcPr>
          <w:p>
            <w:pPr>
              <w:snapToGrid w:val="0"/>
              <w:spacing w:line="360" w:lineRule="exac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1.党的理论与党性教育相关课程</w:t>
            </w:r>
          </w:p>
        </w:tc>
        <w:tc>
          <w:tcPr>
            <w:tcW w:w="1386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0.5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校内教师</w:t>
            </w:r>
          </w:p>
        </w:tc>
        <w:tc>
          <w:tcPr>
            <w:tcW w:w="133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讲授式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432" w:type="dxa"/>
            <w:vMerge w:val="continue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3404" w:type="dxa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2</w:t>
            </w:r>
            <w:r>
              <w:rPr>
                <w:rFonts w:hint="eastAsia" w:ascii="仿宋" w:hAnsi="仿宋" w:eastAsia="仿宋" w:cs="仿宋"/>
                <w:sz w:val="24"/>
              </w:rPr>
              <w:t>.主题党日活动</w:t>
            </w:r>
          </w:p>
        </w:tc>
        <w:tc>
          <w:tcPr>
            <w:tcW w:w="1386" w:type="dxa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校内教师</w:t>
            </w:r>
          </w:p>
        </w:tc>
        <w:tc>
          <w:tcPr>
            <w:tcW w:w="1334" w:type="dxa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体验式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432" w:type="dxa"/>
            <w:vMerge w:val="restart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核心业务</w:t>
            </w:r>
          </w:p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（</w:t>
            </w:r>
            <w:r>
              <w:rPr>
                <w:rFonts w:ascii="仿宋" w:hAnsi="仿宋" w:eastAsia="仿宋" w:cs="仿宋"/>
                <w:b/>
                <w:sz w:val="24"/>
              </w:rPr>
              <w:t>4</w:t>
            </w:r>
            <w:r>
              <w:rPr>
                <w:rFonts w:hint="eastAsia" w:ascii="仿宋" w:hAnsi="仿宋" w:eastAsia="仿宋" w:cs="仿宋"/>
                <w:b/>
                <w:sz w:val="24"/>
              </w:rPr>
              <w:t>.5天）</w:t>
            </w:r>
          </w:p>
        </w:tc>
        <w:tc>
          <w:tcPr>
            <w:tcW w:w="3404" w:type="dxa"/>
            <w:vAlign w:val="center"/>
          </w:tcPr>
          <w:p>
            <w:pPr>
              <w:snapToGrid w:val="0"/>
              <w:spacing w:line="360" w:lineRule="exac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1.税务稽查干部深入开展纪法学习——税务典型案件警示教育</w:t>
            </w:r>
          </w:p>
        </w:tc>
        <w:tc>
          <w:tcPr>
            <w:tcW w:w="1386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0.5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校内教师</w:t>
            </w:r>
          </w:p>
        </w:tc>
        <w:tc>
          <w:tcPr>
            <w:tcW w:w="133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案例式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432" w:type="dxa"/>
            <w:vMerge w:val="continue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3404" w:type="dxa"/>
            <w:vAlign w:val="center"/>
          </w:tcPr>
          <w:p>
            <w:pPr>
              <w:snapToGrid w:val="0"/>
              <w:spacing w:line="360" w:lineRule="exac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2.有关欠税问题的法律分析及风险应对</w:t>
            </w:r>
          </w:p>
        </w:tc>
        <w:tc>
          <w:tcPr>
            <w:tcW w:w="1386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0.5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校内教师</w:t>
            </w:r>
          </w:p>
        </w:tc>
        <w:tc>
          <w:tcPr>
            <w:tcW w:w="133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讲授式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432" w:type="dxa"/>
            <w:vMerge w:val="continue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3404" w:type="dxa"/>
            <w:vAlign w:val="center"/>
          </w:tcPr>
          <w:p>
            <w:pPr>
              <w:snapToGrid w:val="0"/>
              <w:spacing w:line="360" w:lineRule="exac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3.行政处罚法修订重点及对税务行政执法的影响</w:t>
            </w:r>
          </w:p>
        </w:tc>
        <w:tc>
          <w:tcPr>
            <w:tcW w:w="1386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0.5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校内教师</w:t>
            </w:r>
          </w:p>
        </w:tc>
        <w:tc>
          <w:tcPr>
            <w:tcW w:w="133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讲授式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432" w:type="dxa"/>
            <w:vMerge w:val="continue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3404" w:type="dxa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4</w:t>
            </w:r>
            <w:r>
              <w:rPr>
                <w:rFonts w:ascii="仿宋" w:hAnsi="仿宋" w:eastAsia="仿宋" w:cs="仿宋"/>
                <w:sz w:val="24"/>
              </w:rPr>
              <w:t>.</w:t>
            </w:r>
            <w:r>
              <w:rPr>
                <w:rFonts w:hint="eastAsia" w:ascii="仿宋" w:hAnsi="仿宋" w:eastAsia="仿宋" w:cs="仿宋"/>
                <w:sz w:val="24"/>
              </w:rPr>
              <w:t>税务行政执法中证据问题研究</w:t>
            </w:r>
          </w:p>
        </w:tc>
        <w:tc>
          <w:tcPr>
            <w:tcW w:w="1386" w:type="dxa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0.5</w:t>
            </w:r>
          </w:p>
        </w:tc>
        <w:tc>
          <w:tcPr>
            <w:tcW w:w="1276" w:type="dxa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校内教师</w:t>
            </w:r>
          </w:p>
        </w:tc>
        <w:tc>
          <w:tcPr>
            <w:tcW w:w="1334" w:type="dxa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讲授式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432" w:type="dxa"/>
            <w:vMerge w:val="continue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3404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5</w:t>
            </w:r>
            <w:r>
              <w:rPr>
                <w:rFonts w:ascii="仿宋" w:hAnsi="仿宋" w:eastAsia="仿宋" w:cs="仿宋"/>
                <w:sz w:val="24"/>
              </w:rPr>
              <w:t>.</w:t>
            </w:r>
            <w:r>
              <w:rPr>
                <w:rFonts w:hint="eastAsia" w:ascii="仿宋" w:hAnsi="仿宋" w:eastAsia="仿宋" w:cs="仿宋"/>
                <w:sz w:val="24"/>
              </w:rPr>
              <w:t>行政处罚与刑事犯罪双向衔接中涉税案例解读及法律分析</w:t>
            </w:r>
          </w:p>
        </w:tc>
        <w:tc>
          <w:tcPr>
            <w:tcW w:w="1386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0.5</w:t>
            </w:r>
          </w:p>
        </w:tc>
        <w:tc>
          <w:tcPr>
            <w:tcW w:w="1276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校内教师</w:t>
            </w:r>
          </w:p>
        </w:tc>
        <w:tc>
          <w:tcPr>
            <w:tcW w:w="1334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案例式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432" w:type="dxa"/>
            <w:vMerge w:val="continue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3404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6.稽查局应诉案件成因分析及风险规避</w:t>
            </w:r>
          </w:p>
        </w:tc>
        <w:tc>
          <w:tcPr>
            <w:tcW w:w="1386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0.5</w:t>
            </w:r>
          </w:p>
        </w:tc>
        <w:tc>
          <w:tcPr>
            <w:tcW w:w="1276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校内教师</w:t>
            </w:r>
          </w:p>
        </w:tc>
        <w:tc>
          <w:tcPr>
            <w:tcW w:w="1334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案例式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432" w:type="dxa"/>
            <w:vMerge w:val="continue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340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7</w:t>
            </w:r>
            <w:r>
              <w:rPr>
                <w:rFonts w:ascii="仿宋" w:hAnsi="仿宋" w:eastAsia="仿宋" w:cs="仿宋"/>
                <w:sz w:val="24"/>
              </w:rPr>
              <w:t>.</w:t>
            </w:r>
            <w:r>
              <w:rPr>
                <w:rFonts w:hint="eastAsia" w:ascii="仿宋" w:hAnsi="仿宋" w:eastAsia="仿宋" w:cs="仿宋"/>
                <w:sz w:val="24"/>
              </w:rPr>
              <w:t>“7.01”骗取出口退税案件解剖式精讲</w:t>
            </w:r>
          </w:p>
        </w:tc>
        <w:tc>
          <w:tcPr>
            <w:tcW w:w="138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0.5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外聘教师</w:t>
            </w:r>
          </w:p>
        </w:tc>
        <w:tc>
          <w:tcPr>
            <w:tcW w:w="133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案例式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432" w:type="dxa"/>
            <w:vMerge w:val="continue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3404" w:type="dxa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8</w:t>
            </w:r>
            <w:r>
              <w:rPr>
                <w:rFonts w:ascii="仿宋" w:hAnsi="仿宋" w:eastAsia="仿宋" w:cs="仿宋"/>
                <w:sz w:val="24"/>
              </w:rPr>
              <w:t>.</w:t>
            </w:r>
            <w:r>
              <w:rPr>
                <w:rFonts w:hint="eastAsia" w:ascii="仿宋" w:hAnsi="仿宋" w:eastAsia="仿宋" w:cs="仿宋"/>
                <w:sz w:val="24"/>
              </w:rPr>
              <w:t>税务稽查执法文书规范与说理</w:t>
            </w:r>
          </w:p>
        </w:tc>
        <w:tc>
          <w:tcPr>
            <w:tcW w:w="1386" w:type="dxa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0.5</w:t>
            </w:r>
          </w:p>
        </w:tc>
        <w:tc>
          <w:tcPr>
            <w:tcW w:w="1276" w:type="dxa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外聘教师</w:t>
            </w:r>
          </w:p>
        </w:tc>
        <w:tc>
          <w:tcPr>
            <w:tcW w:w="1334" w:type="dxa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讲授式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432" w:type="dxa"/>
            <w:vMerge w:val="continue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3404" w:type="dxa"/>
            <w:vAlign w:val="center"/>
          </w:tcPr>
          <w:p>
            <w:pPr>
              <w:snapToGrid w:val="0"/>
              <w:spacing w:line="360" w:lineRule="exac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9</w:t>
            </w:r>
            <w:r>
              <w:rPr>
                <w:rFonts w:ascii="仿宋" w:hAnsi="仿宋" w:eastAsia="仿宋" w:cs="仿宋"/>
                <w:sz w:val="24"/>
              </w:rPr>
              <w:t>.</w:t>
            </w:r>
            <w:r>
              <w:rPr>
                <w:rFonts w:hint="eastAsia" w:ascii="仿宋" w:hAnsi="仿宋" w:eastAsia="仿宋" w:cs="仿宋"/>
                <w:sz w:val="24"/>
              </w:rPr>
              <w:t>分组研讨：结合个人执法经历，谈谈如何精准打击涉税犯罪</w:t>
            </w:r>
          </w:p>
        </w:tc>
        <w:tc>
          <w:tcPr>
            <w:tcW w:w="1386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0</w:t>
            </w:r>
            <w:r>
              <w:rPr>
                <w:rFonts w:ascii="仿宋" w:hAnsi="仿宋" w:eastAsia="仿宋" w:cs="仿宋"/>
                <w:sz w:val="24"/>
              </w:rPr>
              <w:t>.5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校内教师</w:t>
            </w:r>
          </w:p>
        </w:tc>
        <w:tc>
          <w:tcPr>
            <w:tcW w:w="133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研讨式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432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非课程环节</w:t>
            </w:r>
          </w:p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（2天）</w:t>
            </w:r>
          </w:p>
        </w:tc>
        <w:tc>
          <w:tcPr>
            <w:tcW w:w="3404" w:type="dxa"/>
            <w:vAlign w:val="center"/>
          </w:tcPr>
          <w:p>
            <w:pPr>
              <w:snapToGrid w:val="0"/>
              <w:spacing w:line="360" w:lineRule="exac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1.报到、返程</w:t>
            </w:r>
          </w:p>
        </w:tc>
        <w:tc>
          <w:tcPr>
            <w:tcW w:w="1386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总务处</w:t>
            </w:r>
          </w:p>
        </w:tc>
        <w:tc>
          <w:tcPr>
            <w:tcW w:w="133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4836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合计</w:t>
            </w:r>
          </w:p>
        </w:tc>
        <w:tc>
          <w:tcPr>
            <w:tcW w:w="3996" w:type="dxa"/>
            <w:gridSpan w:val="3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8</w:t>
            </w:r>
          </w:p>
        </w:tc>
      </w:tr>
    </w:tbl>
    <w:p>
      <w:pPr>
        <w:adjustRightInd w:val="0"/>
        <w:snapToGrid w:val="0"/>
        <w:spacing w:line="440" w:lineRule="exact"/>
        <w:ind w:firstLine="562" w:firstLineChars="200"/>
        <w:rPr>
          <w:rFonts w:hint="eastAsia" w:ascii="仿宋" w:hAnsi="仿宋" w:eastAsia="仿宋" w:cs="仿宋"/>
          <w:b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012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2025-01-06T08:14:59Z</dcterms:created>
  <dc:creator>Administrator</dc:creator>
  <cp:lastModifiedBy>Administrator</cp:lastModifiedBy>
  <dcterms:modified xsi:type="dcterms:W3CDTF">2025-01-06T08:15:17Z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