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ascii="黑体" w:hAnsi="黑体" w:eastAsia="黑体"/>
          <w:sz w:val="32"/>
          <w:szCs w:val="32"/>
        </w:rPr>
      </w:pPr>
      <w:r>
        <w:rPr>
          <w:rFonts w:hint="eastAsia" w:ascii="黑体" w:hAnsi="黑体" w:eastAsia="黑体"/>
          <w:sz w:val="32"/>
          <w:szCs w:val="32"/>
        </w:rPr>
        <w:t>国际税收全视角业务能力提升培训班</w:t>
      </w:r>
    </w:p>
    <w:p>
      <w:pPr>
        <w:tabs>
          <w:tab w:val="left" w:pos="3233"/>
        </w:tabs>
        <w:jc w:val="center"/>
        <w:rPr>
          <w:rFonts w:ascii="黑体" w:hAnsi="黑体" w:eastAsia="黑体"/>
          <w:sz w:val="32"/>
          <w:szCs w:val="32"/>
        </w:rPr>
      </w:pPr>
      <w:r>
        <w:rPr>
          <w:rFonts w:ascii="黑体" w:hAnsi="黑体" w:eastAsia="黑体"/>
          <w:sz w:val="32"/>
          <w:szCs w:val="32"/>
        </w:rPr>
        <w:t>项目计划书</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国际税收正面临规则重塑的重要历史时期，深化税收征管改革对国际税收提出了新任务新要求，国际税收岗位的干部要深刻领会习近平总书记关于税收工作的重要论述精神，聚焦政策前沿，关注热点难点，通过专业化精准化的管理服务，发挥国际税收在高质量推进新发展阶段税收现代化中的职能作用，因此业务能力的提升是国际税收岗位工作的迫切要求。基于此，策划本期培训班。</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反避税岗位、税政岗位的税务干部</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通过培训，深刻领悟习近平总书记关于税收工作重要论述精髓，了解国际税收前沿动向和工作现状，系统学习国际税收专门业务，掌握解决重点难点问题的思路和方法。</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培训时间共</w:t>
      </w:r>
      <w:r>
        <w:rPr>
          <w:rFonts w:ascii="仿宋" w:hAnsi="仿宋" w:eastAsia="仿宋" w:cs="仿宋"/>
          <w:sz w:val="28"/>
          <w:szCs w:val="28"/>
        </w:rPr>
        <w:t>8</w:t>
      </w:r>
      <w:r>
        <w:rPr>
          <w:rFonts w:hint="eastAsia" w:ascii="仿宋" w:hAnsi="仿宋" w:eastAsia="仿宋" w:cs="仿宋"/>
          <w:sz w:val="28"/>
          <w:szCs w:val="28"/>
        </w:rPr>
        <w:t>天，其中课程环节5.5天，非课程环节2.5天。</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四、课程设置</w:t>
      </w:r>
    </w:p>
    <w:tbl>
      <w:tblPr>
        <w:tblStyle w:val="3"/>
        <w:tblW w:w="8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3509"/>
        <w:gridCol w:w="1418"/>
        <w:gridCol w:w="1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90"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模 块</w:t>
            </w:r>
          </w:p>
        </w:tc>
        <w:tc>
          <w:tcPr>
            <w:tcW w:w="3509"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培训内容</w:t>
            </w:r>
          </w:p>
        </w:tc>
        <w:tc>
          <w:tcPr>
            <w:tcW w:w="1418"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课时（天）</w:t>
            </w:r>
          </w:p>
        </w:tc>
        <w:tc>
          <w:tcPr>
            <w:tcW w:w="1498"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党的理论</w:t>
            </w:r>
          </w:p>
          <w:p>
            <w:pPr>
              <w:snapToGrid w:val="0"/>
              <w:spacing w:line="380" w:lineRule="exact"/>
              <w:jc w:val="center"/>
              <w:rPr>
                <w:rFonts w:ascii="仿宋" w:hAnsi="仿宋" w:eastAsia="仿宋" w:cs="仿宋"/>
                <w:b/>
                <w:szCs w:val="21"/>
              </w:rPr>
            </w:pPr>
            <w:r>
              <w:rPr>
                <w:rFonts w:hint="eastAsia" w:ascii="仿宋" w:hAnsi="仿宋" w:eastAsia="仿宋" w:cs="仿宋"/>
                <w:b/>
                <w:szCs w:val="21"/>
              </w:rPr>
              <w:t>与党性教育</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（1.5天）</w:t>
            </w:r>
          </w:p>
        </w:tc>
        <w:tc>
          <w:tcPr>
            <w:tcW w:w="3509"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1.习近平深化国际税收合作与全球经济治理的重要论述</w:t>
            </w:r>
          </w:p>
        </w:tc>
        <w:tc>
          <w:tcPr>
            <w:tcW w:w="141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9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2.把握新发展阶段，贯彻新发展理念，构建新发展格局</w:t>
            </w:r>
          </w:p>
        </w:tc>
        <w:tc>
          <w:tcPr>
            <w:tcW w:w="141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9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3.现场教学：党建创新促发展 共筑营商新环境——高新园区税务局“税政企银学”党建创新联盟创新落实“纵合横通强党建”机制制度体系——高新区嘉创大厦芝倪集团众创空间参观</w:t>
            </w:r>
          </w:p>
        </w:tc>
        <w:tc>
          <w:tcPr>
            <w:tcW w:w="141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9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核心业务</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4</w:t>
            </w:r>
            <w:r>
              <w:rPr>
                <w:rFonts w:hint="eastAsia" w:ascii="仿宋" w:hAnsi="仿宋" w:eastAsia="仿宋" w:cs="仿宋"/>
                <w:b/>
                <w:szCs w:val="21"/>
              </w:rPr>
              <w:t>天）</w:t>
            </w:r>
          </w:p>
        </w:tc>
        <w:tc>
          <w:tcPr>
            <w:tcW w:w="3509" w:type="dxa"/>
            <w:noWrap w:val="0"/>
            <w:vAlign w:val="center"/>
          </w:tcPr>
          <w:p>
            <w:pPr>
              <w:spacing w:line="360" w:lineRule="exact"/>
              <w:rPr>
                <w:rFonts w:ascii="仿宋" w:hAnsi="仿宋" w:eastAsia="仿宋" w:cs="宋体"/>
                <w:position w:val="6"/>
                <w:szCs w:val="21"/>
              </w:rPr>
            </w:pPr>
            <w:r>
              <w:rPr>
                <w:rFonts w:ascii="仿宋" w:hAnsi="仿宋" w:eastAsia="仿宋"/>
                <w:color w:val="000000"/>
                <w:szCs w:val="21"/>
              </w:rPr>
              <w:t>1</w:t>
            </w:r>
            <w:r>
              <w:rPr>
                <w:rFonts w:hint="eastAsia" w:ascii="仿宋" w:hAnsi="仿宋" w:eastAsia="仿宋"/>
                <w:color w:val="000000"/>
                <w:szCs w:val="21"/>
              </w:rPr>
              <w:t>.跨境利润水平监控系统应用及案例分享</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.同期资料管理和检查</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.转让定价典型案例分析</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w:t>
            </w:r>
            <w:r>
              <w:rPr>
                <w:rFonts w:hint="eastAsia" w:ascii="仿宋" w:hAnsi="仿宋" w:eastAsia="仿宋"/>
                <w:szCs w:val="21"/>
              </w:rPr>
              <w:t>“双支柱”国际税收新规则最新发展</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.非居民企业间接股权转让税务管理</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.走出去企业跨境业务税收风险识别与防范</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hint="eastAsia" w:ascii="仿宋" w:hAnsi="仿宋" w:eastAsia="仿宋"/>
                <w:szCs w:val="21"/>
              </w:rPr>
              <w:t>7.税务海关转让定价协同管理</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60" w:lineRule="exact"/>
              <w:jc w:val="lef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.研讨交流：服务“走出去”企业助力高质量对外开放的实践需求/培养国际化人才的经验介绍</w:t>
            </w:r>
          </w:p>
        </w:tc>
        <w:tc>
          <w:tcPr>
            <w:tcW w:w="141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0.5</w:t>
            </w:r>
          </w:p>
        </w:tc>
        <w:tc>
          <w:tcPr>
            <w:tcW w:w="1498" w:type="dxa"/>
            <w:noWrap w:val="0"/>
            <w:vAlign w:val="center"/>
          </w:tcPr>
          <w:p>
            <w:pPr>
              <w:snapToGrid w:val="0"/>
              <w:spacing w:line="360" w:lineRule="exact"/>
              <w:jc w:val="center"/>
              <w:rPr>
                <w:rFonts w:ascii="仿宋" w:hAnsi="仿宋" w:eastAsia="仿宋" w:cs="仿宋"/>
                <w:color w:val="000000"/>
                <w:szCs w:val="21"/>
              </w:rPr>
            </w:pPr>
            <w:r>
              <w:rPr>
                <w:rFonts w:hint="eastAsia" w:ascii="仿宋" w:hAnsi="仿宋" w:eastAsia="仿宋" w:cs="仿宋"/>
                <w:color w:val="000000"/>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非课程环节模块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（2.5天）</w:t>
            </w:r>
          </w:p>
        </w:tc>
        <w:tc>
          <w:tcPr>
            <w:tcW w:w="3509"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1.报到、返程</w:t>
            </w:r>
          </w:p>
        </w:tc>
        <w:tc>
          <w:tcPr>
            <w:tcW w:w="141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2</w:t>
            </w:r>
          </w:p>
        </w:tc>
        <w:tc>
          <w:tcPr>
            <w:tcW w:w="1498"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总务处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509"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2.休息</w:t>
            </w:r>
          </w:p>
        </w:tc>
        <w:tc>
          <w:tcPr>
            <w:tcW w:w="1418"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98" w:type="dxa"/>
            <w:noWrap w:val="0"/>
            <w:vAlign w:val="top"/>
          </w:tcPr>
          <w:p>
            <w:pPr>
              <w:snapToGrid w:val="0"/>
              <w:spacing w:line="38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99" w:type="dxa"/>
            <w:gridSpan w:val="2"/>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合   计</w:t>
            </w:r>
          </w:p>
        </w:tc>
        <w:tc>
          <w:tcPr>
            <w:tcW w:w="2916" w:type="dxa"/>
            <w:gridSpan w:val="2"/>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8</w:t>
            </w:r>
          </w:p>
        </w:tc>
      </w:tr>
    </w:tbl>
    <w:p>
      <w:pPr>
        <w:adjustRightInd w:val="0"/>
        <w:snapToGrid w:val="0"/>
        <w:spacing w:line="440" w:lineRule="exact"/>
        <w:rPr>
          <w:rFonts w:ascii="仿宋" w:hAnsi="仿宋" w:eastAsia="仿宋" w:cs="仿宋"/>
          <w:sz w:val="28"/>
          <w:szCs w:val="28"/>
        </w:rPr>
      </w:pP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IzZWExZjVjYWMxZTMyNGVmODFjZDBkNWJkNzkifQ=="/>
  </w:docVars>
  <w:rsids>
    <w:rsidRoot w:val="00000000"/>
    <w:rsid w:val="016F5FDA"/>
    <w:rsid w:val="4C0B77A3"/>
    <w:rsid w:val="5CB31688"/>
    <w:rsid w:val="6A4D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customStyle="1" w:styleId="5">
    <w:name w:val="Table Text"/>
    <w:basedOn w:val="1"/>
    <w:semiHidden/>
    <w:qFormat/>
    <w:uiPriority w:val="0"/>
    <w:rPr>
      <w:rFonts w:ascii="仿宋" w:hAnsi="仿宋" w:eastAsia="仿宋" w:cs="仿宋"/>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2023-12-26T07:38:00Z</dcterms:created>
  <dc:creator>dlglh</dc:creator>
  <cp:lastModifiedBy>顾</cp:lastModifiedBy>
  <dcterms:modified xsi:type="dcterms:W3CDTF">2023-12-26T14:27:21Z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13853626D12142EDB28F96807E4D8B63_12</vt:lpwstr>
  </property>
</Properties>
</file>