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33"/>
        </w:tabs>
        <w:jc w:val="center"/>
        <w:rPr>
          <w:rFonts w:ascii="黑体" w:hAnsi="黑体" w:eastAsia="黑体"/>
          <w:sz w:val="32"/>
          <w:szCs w:val="32"/>
        </w:rPr>
      </w:pPr>
      <w:r>
        <w:rPr>
          <w:rFonts w:hint="eastAsia" w:ascii="黑体" w:hAnsi="黑体" w:eastAsia="黑体"/>
          <w:sz w:val="32"/>
          <w:szCs w:val="32"/>
        </w:rPr>
        <w:t>智慧税务下大企业税收风险管理能力提升培训班</w:t>
      </w:r>
    </w:p>
    <w:p>
      <w:pPr>
        <w:tabs>
          <w:tab w:val="left" w:pos="3233"/>
        </w:tabs>
        <w:jc w:val="center"/>
        <w:rPr>
          <w:rFonts w:ascii="黑体" w:hAnsi="黑体" w:eastAsia="黑体"/>
          <w:sz w:val="32"/>
          <w:szCs w:val="32"/>
        </w:rPr>
      </w:pPr>
      <w:r>
        <w:rPr>
          <w:rFonts w:ascii="黑体" w:hAnsi="黑体" w:eastAsia="黑体"/>
          <w:sz w:val="32"/>
          <w:szCs w:val="32"/>
        </w:rPr>
        <w:t>项目计划书</w:t>
      </w:r>
    </w:p>
    <w:p>
      <w:pPr>
        <w:adjustRightInd w:val="0"/>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新一轮的税收征管改革对大企业风险管理工作提出了新的更高要求，为助力税务干部拓展智慧税务背景下大企业风险管理工作思路，把握大企业并购重组、跨境业务的风险防控及采取有效的税收风险应对措施,为新时期大企业税收风险管理工作能力的提升奠定坚实基础，策划本期培训班。</w:t>
      </w:r>
    </w:p>
    <w:p>
      <w:pPr>
        <w:adjustRightInd w:val="0"/>
        <w:snapToGrid w:val="0"/>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一、培训对象</w:t>
      </w:r>
    </w:p>
    <w:p>
      <w:pPr>
        <w:adjustRightInd w:val="0"/>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从事大企业税收管理与服务工作的税务干部</w:t>
      </w:r>
    </w:p>
    <w:p>
      <w:pPr>
        <w:adjustRightInd w:val="0"/>
        <w:snapToGrid w:val="0"/>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二、培训目标</w:t>
      </w:r>
    </w:p>
    <w:p>
      <w:pPr>
        <w:adjustRightInd w:val="0"/>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通过培训，进一步提高学员的政治理论素养，牢记初心使命，促进学员大企业服务和管理理念的变革及新的工作方式和手段的运用，提升大企业税收风险管理能力，进而强化大企业税收管理效能。</w:t>
      </w:r>
    </w:p>
    <w:p>
      <w:pPr>
        <w:adjustRightInd w:val="0"/>
        <w:snapToGrid w:val="0"/>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三、培训时间</w:t>
      </w:r>
    </w:p>
    <w:p>
      <w:pPr>
        <w:adjustRightInd w:val="0"/>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培训时间共10天，其中课程环节7天，非课程环节3天。</w:t>
      </w:r>
    </w:p>
    <w:p>
      <w:pPr>
        <w:adjustRightInd w:val="0"/>
        <w:snapToGrid w:val="0"/>
        <w:spacing w:line="440" w:lineRule="exact"/>
        <w:ind w:firstLine="562" w:firstLineChars="200"/>
        <w:rPr>
          <w:rFonts w:ascii="仿宋" w:hAnsi="仿宋" w:eastAsia="仿宋" w:cs="仿宋"/>
          <w:b/>
          <w:sz w:val="28"/>
          <w:szCs w:val="28"/>
        </w:rPr>
      </w:pPr>
      <w:r>
        <w:rPr>
          <w:rFonts w:hint="eastAsia" w:ascii="仿宋" w:hAnsi="仿宋" w:eastAsia="仿宋" w:cs="仿宋"/>
          <w:b/>
          <w:sz w:val="28"/>
          <w:szCs w:val="28"/>
        </w:rPr>
        <w:t>四、课程设置</w:t>
      </w:r>
    </w:p>
    <w:tbl>
      <w:tblPr>
        <w:tblStyle w:val="3"/>
        <w:tblW w:w="84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90"/>
        <w:gridCol w:w="3398"/>
        <w:gridCol w:w="1559"/>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1790" w:type="dxa"/>
            <w:noWrap w:val="0"/>
            <w:vAlign w:val="center"/>
          </w:tcPr>
          <w:p>
            <w:pPr>
              <w:snapToGrid w:val="0"/>
              <w:spacing w:line="380" w:lineRule="exact"/>
              <w:jc w:val="center"/>
              <w:rPr>
                <w:rFonts w:ascii="仿宋" w:hAnsi="仿宋" w:eastAsia="仿宋" w:cs="仿宋"/>
                <w:b/>
                <w:szCs w:val="21"/>
              </w:rPr>
            </w:pPr>
            <w:r>
              <w:rPr>
                <w:rFonts w:hint="eastAsia" w:ascii="仿宋" w:hAnsi="仿宋" w:eastAsia="仿宋" w:cs="仿宋"/>
                <w:b/>
                <w:szCs w:val="21"/>
              </w:rPr>
              <w:t>模 块</w:t>
            </w:r>
          </w:p>
        </w:tc>
        <w:tc>
          <w:tcPr>
            <w:tcW w:w="3398" w:type="dxa"/>
            <w:noWrap w:val="0"/>
            <w:vAlign w:val="center"/>
          </w:tcPr>
          <w:p>
            <w:pPr>
              <w:snapToGrid w:val="0"/>
              <w:spacing w:line="380" w:lineRule="exact"/>
              <w:jc w:val="center"/>
              <w:rPr>
                <w:rFonts w:ascii="仿宋" w:hAnsi="仿宋" w:eastAsia="仿宋" w:cs="仿宋"/>
                <w:b/>
                <w:szCs w:val="21"/>
              </w:rPr>
            </w:pPr>
            <w:r>
              <w:rPr>
                <w:rFonts w:hint="eastAsia" w:ascii="仿宋" w:hAnsi="仿宋" w:eastAsia="仿宋" w:cs="仿宋"/>
                <w:b/>
                <w:szCs w:val="21"/>
              </w:rPr>
              <w:t>培训内容</w:t>
            </w:r>
          </w:p>
        </w:tc>
        <w:tc>
          <w:tcPr>
            <w:tcW w:w="1559" w:type="dxa"/>
            <w:noWrap w:val="0"/>
            <w:vAlign w:val="center"/>
          </w:tcPr>
          <w:p>
            <w:pPr>
              <w:snapToGrid w:val="0"/>
              <w:spacing w:line="380" w:lineRule="exact"/>
              <w:jc w:val="center"/>
              <w:rPr>
                <w:rFonts w:ascii="仿宋" w:hAnsi="仿宋" w:eastAsia="仿宋" w:cs="仿宋"/>
                <w:b/>
                <w:szCs w:val="21"/>
              </w:rPr>
            </w:pPr>
            <w:r>
              <w:rPr>
                <w:rFonts w:hint="eastAsia" w:ascii="仿宋" w:hAnsi="仿宋" w:eastAsia="仿宋" w:cs="仿宋"/>
                <w:b/>
                <w:szCs w:val="21"/>
              </w:rPr>
              <w:t>课时（天）</w:t>
            </w:r>
          </w:p>
        </w:tc>
        <w:tc>
          <w:tcPr>
            <w:tcW w:w="1701" w:type="dxa"/>
            <w:noWrap w:val="0"/>
            <w:vAlign w:val="center"/>
          </w:tcPr>
          <w:p>
            <w:pPr>
              <w:snapToGrid w:val="0"/>
              <w:spacing w:line="380" w:lineRule="exact"/>
              <w:jc w:val="center"/>
              <w:rPr>
                <w:rFonts w:ascii="仿宋" w:hAnsi="仿宋" w:eastAsia="仿宋" w:cs="仿宋"/>
                <w:b/>
                <w:szCs w:val="21"/>
              </w:rPr>
            </w:pPr>
            <w:r>
              <w:rPr>
                <w:rFonts w:hint="eastAsia" w:ascii="仿宋" w:hAnsi="仿宋" w:eastAsia="仿宋" w:cs="仿宋"/>
                <w:b/>
                <w:szCs w:val="21"/>
              </w:rPr>
              <w:t>教学方法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7" w:hRule="atLeast"/>
          <w:jc w:val="center"/>
        </w:trPr>
        <w:tc>
          <w:tcPr>
            <w:tcW w:w="1790" w:type="dxa"/>
            <w:vMerge w:val="restart"/>
            <w:noWrap w:val="0"/>
            <w:vAlign w:val="center"/>
          </w:tcPr>
          <w:p>
            <w:pPr>
              <w:snapToGrid w:val="0"/>
              <w:spacing w:line="380" w:lineRule="exact"/>
              <w:jc w:val="center"/>
              <w:rPr>
                <w:rFonts w:ascii="仿宋" w:hAnsi="仿宋" w:eastAsia="仿宋" w:cs="仿宋"/>
                <w:b/>
                <w:szCs w:val="21"/>
              </w:rPr>
            </w:pPr>
            <w:r>
              <w:rPr>
                <w:rFonts w:hint="eastAsia" w:ascii="仿宋" w:hAnsi="仿宋" w:eastAsia="仿宋" w:cs="仿宋"/>
                <w:b/>
                <w:szCs w:val="21"/>
              </w:rPr>
              <w:t>党的理论</w:t>
            </w:r>
          </w:p>
          <w:p>
            <w:pPr>
              <w:snapToGrid w:val="0"/>
              <w:spacing w:line="380" w:lineRule="exact"/>
              <w:jc w:val="center"/>
              <w:rPr>
                <w:rFonts w:ascii="仿宋" w:hAnsi="仿宋" w:eastAsia="仿宋" w:cs="仿宋"/>
                <w:b/>
                <w:szCs w:val="21"/>
              </w:rPr>
            </w:pPr>
            <w:r>
              <w:rPr>
                <w:rFonts w:hint="eastAsia" w:ascii="仿宋" w:hAnsi="仿宋" w:eastAsia="仿宋" w:cs="仿宋"/>
                <w:b/>
                <w:szCs w:val="21"/>
              </w:rPr>
              <w:t>与党性教育</w:t>
            </w:r>
          </w:p>
          <w:p>
            <w:pPr>
              <w:snapToGrid w:val="0"/>
              <w:spacing w:line="380" w:lineRule="exact"/>
              <w:jc w:val="center"/>
              <w:rPr>
                <w:rFonts w:ascii="仿宋" w:hAnsi="仿宋" w:eastAsia="仿宋" w:cs="仿宋"/>
                <w:b/>
                <w:szCs w:val="21"/>
              </w:rPr>
            </w:pPr>
            <w:r>
              <w:rPr>
                <w:rFonts w:hint="eastAsia" w:ascii="仿宋" w:hAnsi="仿宋" w:eastAsia="仿宋" w:cs="仿宋"/>
                <w:b/>
                <w:szCs w:val="21"/>
              </w:rPr>
              <w:t>模块</w:t>
            </w:r>
          </w:p>
          <w:p>
            <w:pPr>
              <w:snapToGrid w:val="0"/>
              <w:spacing w:line="380" w:lineRule="exact"/>
              <w:jc w:val="center"/>
              <w:rPr>
                <w:rFonts w:ascii="仿宋" w:hAnsi="仿宋" w:eastAsia="仿宋" w:cs="仿宋"/>
                <w:b/>
                <w:szCs w:val="21"/>
              </w:rPr>
            </w:pPr>
            <w:r>
              <w:rPr>
                <w:rFonts w:hint="eastAsia" w:ascii="仿宋" w:hAnsi="仿宋" w:eastAsia="仿宋" w:cs="仿宋"/>
                <w:b/>
                <w:szCs w:val="21"/>
              </w:rPr>
              <w:t>（1.5</w:t>
            </w:r>
            <w:r>
              <w:rPr>
                <w:rFonts w:ascii="仿宋" w:hAnsi="仿宋" w:eastAsia="仿宋" w:cs="仿宋"/>
                <w:b/>
                <w:szCs w:val="21"/>
              </w:rPr>
              <w:t xml:space="preserve"> </w:t>
            </w:r>
            <w:r>
              <w:rPr>
                <w:rFonts w:hint="eastAsia" w:ascii="仿宋" w:hAnsi="仿宋" w:eastAsia="仿宋" w:cs="仿宋"/>
                <w:b/>
                <w:szCs w:val="21"/>
              </w:rPr>
              <w:t>天）</w:t>
            </w:r>
          </w:p>
        </w:tc>
        <w:tc>
          <w:tcPr>
            <w:tcW w:w="3398" w:type="dxa"/>
            <w:noWrap w:val="0"/>
            <w:vAlign w:val="center"/>
          </w:tcPr>
          <w:p>
            <w:pPr>
              <w:snapToGrid w:val="0"/>
              <w:spacing w:line="380" w:lineRule="exact"/>
              <w:rPr>
                <w:rFonts w:ascii="仿宋" w:hAnsi="仿宋" w:eastAsia="仿宋" w:cs="仿宋"/>
                <w:szCs w:val="21"/>
              </w:rPr>
            </w:pPr>
            <w:r>
              <w:rPr>
                <w:rFonts w:hint="eastAsia" w:ascii="仿宋" w:hAnsi="仿宋" w:eastAsia="仿宋" w:cs="仿宋"/>
                <w:szCs w:val="21"/>
              </w:rPr>
              <w:t>1.中国经济高质量发展面临的国内国际形势分析</w:t>
            </w:r>
          </w:p>
        </w:tc>
        <w:tc>
          <w:tcPr>
            <w:tcW w:w="1559" w:type="dxa"/>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0.5</w:t>
            </w:r>
          </w:p>
        </w:tc>
        <w:tc>
          <w:tcPr>
            <w:tcW w:w="1701" w:type="dxa"/>
            <w:noWrap w:val="0"/>
            <w:vAlign w:val="center"/>
          </w:tcPr>
          <w:p>
            <w:pPr>
              <w:snapToGrid w:val="0"/>
              <w:spacing w:line="380" w:lineRule="exact"/>
              <w:jc w:val="center"/>
              <w:rPr>
                <w:rFonts w:ascii="仿宋" w:hAnsi="仿宋" w:eastAsia="仿宋" w:cs="仿宋"/>
                <w:szCs w:val="21"/>
              </w:rPr>
            </w:pPr>
            <w:r>
              <w:rPr>
                <w:rFonts w:ascii="仿宋" w:hAnsi="仿宋" w:eastAsia="仿宋" w:cs="仿宋"/>
                <w:szCs w:val="21"/>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790" w:type="dxa"/>
            <w:vMerge w:val="continue"/>
            <w:noWrap w:val="0"/>
            <w:vAlign w:val="center"/>
          </w:tcPr>
          <w:p>
            <w:pPr>
              <w:snapToGrid w:val="0"/>
              <w:spacing w:line="380" w:lineRule="exact"/>
              <w:jc w:val="center"/>
              <w:rPr>
                <w:rFonts w:ascii="仿宋" w:hAnsi="仿宋" w:eastAsia="仿宋" w:cs="仿宋"/>
                <w:b/>
                <w:szCs w:val="21"/>
              </w:rPr>
            </w:pPr>
          </w:p>
        </w:tc>
        <w:tc>
          <w:tcPr>
            <w:tcW w:w="3398" w:type="dxa"/>
            <w:noWrap w:val="0"/>
            <w:vAlign w:val="center"/>
          </w:tcPr>
          <w:p>
            <w:pPr>
              <w:snapToGrid w:val="0"/>
              <w:spacing w:line="380" w:lineRule="exact"/>
              <w:rPr>
                <w:rFonts w:ascii="仿宋" w:hAnsi="仿宋" w:eastAsia="仿宋" w:cs="仿宋"/>
                <w:szCs w:val="21"/>
              </w:rPr>
            </w:pPr>
            <w:r>
              <w:rPr>
                <w:rFonts w:hint="eastAsia" w:ascii="仿宋" w:hAnsi="仿宋" w:eastAsia="仿宋" w:cs="仿宋"/>
                <w:szCs w:val="21"/>
              </w:rPr>
              <w:t>2.主题党日：“重温历史守初心 牢记使命践誓言”-—（大连旅顺爱国主义教育基地）</w:t>
            </w:r>
          </w:p>
        </w:tc>
        <w:tc>
          <w:tcPr>
            <w:tcW w:w="1559" w:type="dxa"/>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0.5</w:t>
            </w:r>
          </w:p>
        </w:tc>
        <w:tc>
          <w:tcPr>
            <w:tcW w:w="1701" w:type="dxa"/>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体验式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3" w:hRule="atLeast"/>
          <w:jc w:val="center"/>
        </w:trPr>
        <w:tc>
          <w:tcPr>
            <w:tcW w:w="1790" w:type="dxa"/>
            <w:vMerge w:val="continue"/>
            <w:noWrap w:val="0"/>
            <w:vAlign w:val="center"/>
          </w:tcPr>
          <w:p>
            <w:pPr>
              <w:snapToGrid w:val="0"/>
              <w:spacing w:line="380" w:lineRule="exact"/>
              <w:jc w:val="center"/>
              <w:rPr>
                <w:rFonts w:ascii="仿宋" w:hAnsi="仿宋" w:eastAsia="仿宋" w:cs="仿宋"/>
                <w:b/>
                <w:szCs w:val="21"/>
              </w:rPr>
            </w:pPr>
          </w:p>
        </w:tc>
        <w:tc>
          <w:tcPr>
            <w:tcW w:w="3398" w:type="dxa"/>
            <w:noWrap w:val="0"/>
            <w:vAlign w:val="center"/>
          </w:tcPr>
          <w:p>
            <w:pPr>
              <w:snapToGrid w:val="0"/>
              <w:spacing w:line="380" w:lineRule="exact"/>
              <w:rPr>
                <w:rFonts w:ascii="仿宋" w:hAnsi="仿宋" w:eastAsia="仿宋" w:cs="仿宋"/>
                <w:szCs w:val="21"/>
              </w:rPr>
            </w:pPr>
            <w:r>
              <w:rPr>
                <w:rFonts w:hint="eastAsia" w:ascii="仿宋" w:hAnsi="仿宋" w:eastAsia="仿宋" w:cs="仿宋"/>
                <w:szCs w:val="21"/>
              </w:rPr>
              <w:t>3.现场教学：党建引领税企互动  双向风控共建共赢—（大连奥托股份有限公司参观学习）</w:t>
            </w:r>
          </w:p>
        </w:tc>
        <w:tc>
          <w:tcPr>
            <w:tcW w:w="1559" w:type="dxa"/>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0.5</w:t>
            </w:r>
          </w:p>
        </w:tc>
        <w:tc>
          <w:tcPr>
            <w:tcW w:w="1701" w:type="dxa"/>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体验式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1790" w:type="dxa"/>
            <w:vMerge w:val="restart"/>
            <w:noWrap w:val="0"/>
            <w:vAlign w:val="center"/>
          </w:tcPr>
          <w:p>
            <w:pPr>
              <w:snapToGrid w:val="0"/>
              <w:spacing w:line="380" w:lineRule="exact"/>
              <w:jc w:val="center"/>
              <w:rPr>
                <w:rFonts w:ascii="仿宋" w:hAnsi="仿宋" w:eastAsia="仿宋" w:cs="仿宋"/>
                <w:b/>
                <w:szCs w:val="21"/>
              </w:rPr>
            </w:pPr>
            <w:r>
              <w:rPr>
                <w:rFonts w:hint="eastAsia" w:ascii="仿宋" w:hAnsi="仿宋" w:eastAsia="仿宋" w:cs="仿宋"/>
                <w:b/>
                <w:szCs w:val="21"/>
              </w:rPr>
              <w:t>核心业务</w:t>
            </w:r>
          </w:p>
          <w:p>
            <w:pPr>
              <w:snapToGrid w:val="0"/>
              <w:spacing w:line="380" w:lineRule="exact"/>
              <w:jc w:val="center"/>
              <w:rPr>
                <w:rFonts w:ascii="仿宋" w:hAnsi="仿宋" w:eastAsia="仿宋" w:cs="仿宋"/>
                <w:b/>
                <w:szCs w:val="21"/>
              </w:rPr>
            </w:pPr>
            <w:r>
              <w:rPr>
                <w:rFonts w:hint="eastAsia" w:ascii="仿宋" w:hAnsi="仿宋" w:eastAsia="仿宋" w:cs="仿宋"/>
                <w:b/>
                <w:szCs w:val="21"/>
              </w:rPr>
              <w:t>模块</w:t>
            </w:r>
          </w:p>
          <w:p>
            <w:pPr>
              <w:snapToGrid w:val="0"/>
              <w:spacing w:line="380" w:lineRule="exact"/>
              <w:jc w:val="center"/>
              <w:rPr>
                <w:rFonts w:ascii="仿宋" w:hAnsi="仿宋" w:eastAsia="仿宋" w:cs="仿宋"/>
                <w:b/>
                <w:szCs w:val="21"/>
              </w:rPr>
            </w:pPr>
            <w:r>
              <w:rPr>
                <w:rFonts w:hint="eastAsia" w:ascii="仿宋" w:hAnsi="仿宋" w:eastAsia="仿宋" w:cs="仿宋"/>
                <w:b/>
                <w:szCs w:val="21"/>
              </w:rPr>
              <w:t>（5.5天）</w:t>
            </w:r>
          </w:p>
        </w:tc>
        <w:tc>
          <w:tcPr>
            <w:tcW w:w="3398" w:type="dxa"/>
            <w:noWrap w:val="0"/>
            <w:vAlign w:val="center"/>
          </w:tcPr>
          <w:p>
            <w:pPr>
              <w:snapToGrid w:val="0"/>
              <w:spacing w:line="380" w:lineRule="exact"/>
              <w:rPr>
                <w:rFonts w:ascii="仿宋" w:hAnsi="仿宋" w:eastAsia="仿宋" w:cs="仿宋"/>
                <w:szCs w:val="21"/>
              </w:rPr>
            </w:pPr>
            <w:r>
              <w:rPr>
                <w:rFonts w:hint="eastAsia" w:ascii="仿宋" w:hAnsi="仿宋" w:eastAsia="仿宋" w:cs="仿宋"/>
                <w:szCs w:val="21"/>
              </w:rPr>
              <w:t>1.大企业税收服务与管理新思路与实施</w:t>
            </w:r>
          </w:p>
        </w:tc>
        <w:tc>
          <w:tcPr>
            <w:tcW w:w="1559" w:type="dxa"/>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0.5</w:t>
            </w:r>
          </w:p>
        </w:tc>
        <w:tc>
          <w:tcPr>
            <w:tcW w:w="1701" w:type="dxa"/>
            <w:noWrap w:val="0"/>
            <w:vAlign w:val="center"/>
          </w:tcPr>
          <w:p>
            <w:pPr>
              <w:snapToGrid w:val="0"/>
              <w:spacing w:line="380" w:lineRule="exact"/>
              <w:jc w:val="center"/>
              <w:rPr>
                <w:rFonts w:ascii="仿宋" w:hAnsi="仿宋" w:eastAsia="仿宋" w:cs="仿宋"/>
                <w:szCs w:val="21"/>
              </w:rPr>
            </w:pPr>
            <w:r>
              <w:rPr>
                <w:rFonts w:ascii="仿宋" w:hAnsi="仿宋" w:eastAsia="仿宋" w:cs="仿宋"/>
                <w:szCs w:val="21"/>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2" w:hRule="atLeast"/>
          <w:jc w:val="center"/>
        </w:trPr>
        <w:tc>
          <w:tcPr>
            <w:tcW w:w="1790" w:type="dxa"/>
            <w:vMerge w:val="continue"/>
            <w:noWrap w:val="0"/>
            <w:vAlign w:val="center"/>
          </w:tcPr>
          <w:p>
            <w:pPr>
              <w:snapToGrid w:val="0"/>
              <w:spacing w:line="380" w:lineRule="exact"/>
              <w:jc w:val="center"/>
              <w:rPr>
                <w:rFonts w:ascii="仿宋" w:hAnsi="仿宋" w:eastAsia="仿宋" w:cs="仿宋"/>
                <w:b/>
                <w:szCs w:val="21"/>
              </w:rPr>
            </w:pPr>
          </w:p>
        </w:tc>
        <w:tc>
          <w:tcPr>
            <w:tcW w:w="3398" w:type="dxa"/>
            <w:noWrap w:val="0"/>
            <w:vAlign w:val="center"/>
          </w:tcPr>
          <w:p>
            <w:pPr>
              <w:snapToGrid w:val="0"/>
              <w:spacing w:line="380" w:lineRule="exact"/>
              <w:rPr>
                <w:rFonts w:ascii="仿宋" w:hAnsi="仿宋" w:eastAsia="仿宋" w:cs="仿宋"/>
                <w:szCs w:val="21"/>
              </w:rPr>
            </w:pPr>
            <w:r>
              <w:rPr>
                <w:rFonts w:hint="eastAsia" w:ascii="仿宋" w:hAnsi="仿宋" w:eastAsia="仿宋" w:cs="仿宋"/>
                <w:szCs w:val="21"/>
              </w:rPr>
              <w:t>2.智慧税务背景下大企业并购重组业务风险防控</w:t>
            </w:r>
          </w:p>
        </w:tc>
        <w:tc>
          <w:tcPr>
            <w:tcW w:w="1559" w:type="dxa"/>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0.5</w:t>
            </w:r>
          </w:p>
        </w:tc>
        <w:tc>
          <w:tcPr>
            <w:tcW w:w="1701" w:type="dxa"/>
            <w:noWrap w:val="0"/>
            <w:vAlign w:val="center"/>
          </w:tcPr>
          <w:p>
            <w:pPr>
              <w:snapToGrid w:val="0"/>
              <w:spacing w:line="380" w:lineRule="exact"/>
              <w:jc w:val="center"/>
              <w:rPr>
                <w:rFonts w:ascii="仿宋" w:hAnsi="仿宋" w:eastAsia="仿宋" w:cs="仿宋"/>
                <w:szCs w:val="21"/>
              </w:rPr>
            </w:pPr>
            <w:r>
              <w:rPr>
                <w:rFonts w:ascii="仿宋" w:hAnsi="仿宋" w:eastAsia="仿宋" w:cs="仿宋"/>
                <w:szCs w:val="21"/>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2" w:hRule="atLeast"/>
          <w:jc w:val="center"/>
        </w:trPr>
        <w:tc>
          <w:tcPr>
            <w:tcW w:w="1790" w:type="dxa"/>
            <w:vMerge w:val="continue"/>
            <w:noWrap w:val="0"/>
            <w:vAlign w:val="center"/>
          </w:tcPr>
          <w:p>
            <w:pPr>
              <w:snapToGrid w:val="0"/>
              <w:spacing w:line="380" w:lineRule="exact"/>
              <w:jc w:val="center"/>
              <w:rPr>
                <w:rFonts w:ascii="仿宋" w:hAnsi="仿宋" w:eastAsia="仿宋" w:cs="仿宋"/>
                <w:b/>
                <w:szCs w:val="21"/>
              </w:rPr>
            </w:pPr>
          </w:p>
        </w:tc>
        <w:tc>
          <w:tcPr>
            <w:tcW w:w="3398" w:type="dxa"/>
            <w:noWrap w:val="0"/>
            <w:vAlign w:val="center"/>
          </w:tcPr>
          <w:p>
            <w:pPr>
              <w:snapToGrid w:val="0"/>
              <w:spacing w:line="380" w:lineRule="exact"/>
              <w:rPr>
                <w:rFonts w:ascii="仿宋" w:hAnsi="仿宋" w:eastAsia="仿宋" w:cs="仿宋"/>
                <w:szCs w:val="21"/>
              </w:rPr>
            </w:pPr>
            <w:r>
              <w:rPr>
                <w:rFonts w:hint="eastAsia" w:ascii="仿宋" w:hAnsi="仿宋" w:eastAsia="仿宋" w:cs="仿宋"/>
                <w:szCs w:val="21"/>
              </w:rPr>
              <w:t>3.智慧税务背景下大企业社会保险费征收的风险管理与防控</w:t>
            </w:r>
          </w:p>
        </w:tc>
        <w:tc>
          <w:tcPr>
            <w:tcW w:w="1559" w:type="dxa"/>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0.5</w:t>
            </w:r>
          </w:p>
        </w:tc>
        <w:tc>
          <w:tcPr>
            <w:tcW w:w="1701" w:type="dxa"/>
            <w:noWrap w:val="0"/>
            <w:vAlign w:val="center"/>
          </w:tcPr>
          <w:p>
            <w:pPr>
              <w:snapToGrid w:val="0"/>
              <w:spacing w:line="380" w:lineRule="exact"/>
              <w:jc w:val="center"/>
              <w:rPr>
                <w:rFonts w:ascii="仿宋" w:hAnsi="仿宋" w:eastAsia="仿宋" w:cs="仿宋"/>
                <w:szCs w:val="21"/>
              </w:rPr>
            </w:pPr>
            <w:r>
              <w:rPr>
                <w:rFonts w:ascii="仿宋" w:hAnsi="仿宋" w:eastAsia="仿宋" w:cs="仿宋"/>
                <w:szCs w:val="21"/>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 w:hRule="atLeast"/>
          <w:jc w:val="center"/>
        </w:trPr>
        <w:tc>
          <w:tcPr>
            <w:tcW w:w="1790" w:type="dxa"/>
            <w:vMerge w:val="continue"/>
            <w:noWrap w:val="0"/>
            <w:vAlign w:val="center"/>
          </w:tcPr>
          <w:p>
            <w:pPr>
              <w:snapToGrid w:val="0"/>
              <w:spacing w:line="380" w:lineRule="exact"/>
              <w:jc w:val="center"/>
              <w:rPr>
                <w:rFonts w:ascii="仿宋" w:hAnsi="仿宋" w:eastAsia="仿宋" w:cs="仿宋"/>
                <w:b/>
                <w:szCs w:val="21"/>
              </w:rPr>
            </w:pPr>
          </w:p>
        </w:tc>
        <w:tc>
          <w:tcPr>
            <w:tcW w:w="3398" w:type="dxa"/>
            <w:noWrap w:val="0"/>
            <w:vAlign w:val="center"/>
          </w:tcPr>
          <w:p>
            <w:pPr>
              <w:snapToGrid w:val="0"/>
              <w:spacing w:line="380" w:lineRule="exact"/>
              <w:rPr>
                <w:rFonts w:ascii="仿宋" w:hAnsi="仿宋" w:eastAsia="仿宋" w:cs="仿宋"/>
                <w:szCs w:val="21"/>
              </w:rPr>
            </w:pPr>
            <w:r>
              <w:rPr>
                <w:rFonts w:hint="eastAsia" w:ascii="仿宋" w:hAnsi="仿宋" w:eastAsia="仿宋" w:cs="仿宋"/>
                <w:szCs w:val="21"/>
              </w:rPr>
              <w:t>4.智慧税务背景下大企业跨境业务风险管理及案例分析</w:t>
            </w:r>
          </w:p>
        </w:tc>
        <w:tc>
          <w:tcPr>
            <w:tcW w:w="1559" w:type="dxa"/>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0.5</w:t>
            </w:r>
          </w:p>
        </w:tc>
        <w:tc>
          <w:tcPr>
            <w:tcW w:w="1701" w:type="dxa"/>
            <w:noWrap w:val="0"/>
            <w:vAlign w:val="center"/>
          </w:tcPr>
          <w:p>
            <w:pPr>
              <w:snapToGrid w:val="0"/>
              <w:spacing w:line="380" w:lineRule="exact"/>
              <w:jc w:val="center"/>
              <w:rPr>
                <w:rFonts w:ascii="仿宋" w:hAnsi="仿宋" w:eastAsia="仿宋" w:cs="仿宋"/>
                <w:szCs w:val="21"/>
              </w:rPr>
            </w:pPr>
            <w:r>
              <w:rPr>
                <w:rFonts w:ascii="仿宋" w:hAnsi="仿宋" w:eastAsia="仿宋" w:cs="仿宋"/>
                <w:szCs w:val="21"/>
              </w:rPr>
              <w:t>研讨式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 w:hRule="atLeast"/>
          <w:jc w:val="center"/>
        </w:trPr>
        <w:tc>
          <w:tcPr>
            <w:tcW w:w="1790" w:type="dxa"/>
            <w:vMerge w:val="continue"/>
            <w:noWrap w:val="0"/>
            <w:vAlign w:val="center"/>
          </w:tcPr>
          <w:p>
            <w:pPr>
              <w:snapToGrid w:val="0"/>
              <w:spacing w:line="380" w:lineRule="exact"/>
              <w:jc w:val="center"/>
              <w:rPr>
                <w:rFonts w:ascii="仿宋" w:hAnsi="仿宋" w:eastAsia="仿宋" w:cs="仿宋"/>
                <w:b/>
                <w:szCs w:val="21"/>
              </w:rPr>
            </w:pPr>
          </w:p>
        </w:tc>
        <w:tc>
          <w:tcPr>
            <w:tcW w:w="3398" w:type="dxa"/>
            <w:noWrap w:val="0"/>
            <w:vAlign w:val="center"/>
          </w:tcPr>
          <w:p>
            <w:pPr>
              <w:snapToGrid w:val="0"/>
              <w:spacing w:line="380" w:lineRule="exact"/>
              <w:rPr>
                <w:rFonts w:ascii="仿宋" w:hAnsi="仿宋" w:eastAsia="仿宋" w:cs="仿宋"/>
                <w:szCs w:val="21"/>
              </w:rPr>
            </w:pPr>
            <w:r>
              <w:rPr>
                <w:rFonts w:hint="eastAsia" w:ascii="仿宋" w:hAnsi="仿宋" w:eastAsia="仿宋" w:cs="仿宋"/>
                <w:szCs w:val="21"/>
              </w:rPr>
              <w:t>5.智慧税务背景下大企业税收风险应对——案头审核分析及政策运用</w:t>
            </w:r>
          </w:p>
        </w:tc>
        <w:tc>
          <w:tcPr>
            <w:tcW w:w="1559" w:type="dxa"/>
            <w:noWrap w:val="0"/>
            <w:vAlign w:val="center"/>
          </w:tcPr>
          <w:p>
            <w:pPr>
              <w:snapToGrid w:val="0"/>
              <w:spacing w:line="380" w:lineRule="exact"/>
              <w:jc w:val="center"/>
              <w:rPr>
                <w:rFonts w:ascii="仿宋" w:hAnsi="仿宋" w:eastAsia="仿宋" w:cs="仿宋"/>
                <w:szCs w:val="21"/>
              </w:rPr>
            </w:pPr>
            <w:r>
              <w:rPr>
                <w:rFonts w:ascii="仿宋" w:hAnsi="仿宋" w:eastAsia="仿宋" w:cs="仿宋"/>
                <w:szCs w:val="21"/>
              </w:rPr>
              <w:t>1</w:t>
            </w:r>
          </w:p>
        </w:tc>
        <w:tc>
          <w:tcPr>
            <w:tcW w:w="1701" w:type="dxa"/>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案例</w:t>
            </w:r>
          </w:p>
          <w:p>
            <w:pPr>
              <w:snapToGrid w:val="0"/>
              <w:spacing w:line="380" w:lineRule="exact"/>
              <w:jc w:val="center"/>
              <w:rPr>
                <w:rFonts w:ascii="仿宋" w:hAnsi="仿宋" w:eastAsia="仿宋" w:cs="仿宋"/>
                <w:szCs w:val="21"/>
              </w:rPr>
            </w:pPr>
            <w:r>
              <w:rPr>
                <w:rFonts w:hint="eastAsia" w:ascii="仿宋" w:hAnsi="仿宋" w:eastAsia="仿宋" w:cs="仿宋"/>
                <w:szCs w:val="21"/>
              </w:rPr>
              <w:t>研讨式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 w:hRule="atLeast"/>
          <w:jc w:val="center"/>
        </w:trPr>
        <w:tc>
          <w:tcPr>
            <w:tcW w:w="1790" w:type="dxa"/>
            <w:vMerge w:val="continue"/>
            <w:noWrap w:val="0"/>
            <w:vAlign w:val="center"/>
          </w:tcPr>
          <w:p>
            <w:pPr>
              <w:snapToGrid w:val="0"/>
              <w:spacing w:line="380" w:lineRule="exact"/>
              <w:jc w:val="center"/>
              <w:rPr>
                <w:rFonts w:ascii="仿宋" w:hAnsi="仿宋" w:eastAsia="仿宋" w:cs="仿宋"/>
                <w:b/>
                <w:szCs w:val="21"/>
              </w:rPr>
            </w:pPr>
          </w:p>
        </w:tc>
        <w:tc>
          <w:tcPr>
            <w:tcW w:w="3398" w:type="dxa"/>
            <w:noWrap w:val="0"/>
            <w:vAlign w:val="center"/>
          </w:tcPr>
          <w:p>
            <w:pPr>
              <w:snapToGrid w:val="0"/>
              <w:spacing w:line="380" w:lineRule="exact"/>
              <w:rPr>
                <w:rFonts w:ascii="仿宋" w:hAnsi="仿宋" w:eastAsia="仿宋" w:cs="仿宋"/>
                <w:szCs w:val="21"/>
              </w:rPr>
            </w:pPr>
            <w:r>
              <w:rPr>
                <w:rFonts w:hint="eastAsia" w:ascii="仿宋" w:hAnsi="仿宋" w:eastAsia="仿宋" w:cs="仿宋"/>
                <w:szCs w:val="21"/>
              </w:rPr>
              <w:t>6.股权激励个人所得税</w:t>
            </w:r>
          </w:p>
        </w:tc>
        <w:tc>
          <w:tcPr>
            <w:tcW w:w="1559" w:type="dxa"/>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0.5</w:t>
            </w:r>
          </w:p>
        </w:tc>
        <w:tc>
          <w:tcPr>
            <w:tcW w:w="1701" w:type="dxa"/>
            <w:noWrap w:val="0"/>
            <w:vAlign w:val="center"/>
          </w:tcPr>
          <w:p>
            <w:pPr>
              <w:snapToGrid w:val="0"/>
              <w:spacing w:line="380" w:lineRule="exact"/>
              <w:jc w:val="center"/>
              <w:rPr>
                <w:rFonts w:ascii="仿宋" w:hAnsi="仿宋" w:eastAsia="仿宋" w:cs="仿宋"/>
                <w:szCs w:val="21"/>
              </w:rPr>
            </w:pPr>
            <w:r>
              <w:rPr>
                <w:rFonts w:ascii="仿宋" w:hAnsi="仿宋" w:eastAsia="仿宋" w:cs="仿宋"/>
                <w:szCs w:val="21"/>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 w:hRule="atLeast"/>
          <w:jc w:val="center"/>
        </w:trPr>
        <w:tc>
          <w:tcPr>
            <w:tcW w:w="1790" w:type="dxa"/>
            <w:vMerge w:val="continue"/>
            <w:noWrap w:val="0"/>
            <w:vAlign w:val="center"/>
          </w:tcPr>
          <w:p>
            <w:pPr>
              <w:snapToGrid w:val="0"/>
              <w:spacing w:line="380" w:lineRule="exact"/>
              <w:jc w:val="center"/>
              <w:rPr>
                <w:rFonts w:ascii="仿宋" w:hAnsi="仿宋" w:eastAsia="仿宋" w:cs="仿宋"/>
                <w:b/>
                <w:szCs w:val="21"/>
              </w:rPr>
            </w:pPr>
          </w:p>
        </w:tc>
        <w:tc>
          <w:tcPr>
            <w:tcW w:w="3398" w:type="dxa"/>
            <w:noWrap w:val="0"/>
            <w:vAlign w:val="center"/>
          </w:tcPr>
          <w:p>
            <w:pPr>
              <w:snapToGrid w:val="0"/>
              <w:spacing w:line="380" w:lineRule="exact"/>
              <w:rPr>
                <w:rFonts w:ascii="仿宋" w:hAnsi="仿宋" w:eastAsia="仿宋" w:cs="仿宋"/>
                <w:szCs w:val="21"/>
              </w:rPr>
            </w:pPr>
            <w:r>
              <w:rPr>
                <w:rFonts w:hint="eastAsia" w:ascii="仿宋" w:hAnsi="仿宋" w:eastAsia="仿宋" w:cs="仿宋"/>
                <w:szCs w:val="21"/>
              </w:rPr>
              <w:t>7</w:t>
            </w:r>
            <w:r>
              <w:rPr>
                <w:rFonts w:ascii="仿宋" w:hAnsi="仿宋" w:eastAsia="仿宋" w:cs="仿宋"/>
                <w:szCs w:val="21"/>
              </w:rPr>
              <w:t>.</w:t>
            </w:r>
            <w:r>
              <w:rPr>
                <w:rFonts w:hint="eastAsia" w:ascii="仿宋" w:hAnsi="仿宋" w:eastAsia="仿宋" w:cs="仿宋"/>
                <w:szCs w:val="21"/>
              </w:rPr>
              <w:t>千户集团税收风险管理重点难点解析</w:t>
            </w:r>
          </w:p>
        </w:tc>
        <w:tc>
          <w:tcPr>
            <w:tcW w:w="1559" w:type="dxa"/>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0</w:t>
            </w:r>
            <w:r>
              <w:rPr>
                <w:rFonts w:ascii="仿宋" w:hAnsi="仿宋" w:eastAsia="仿宋" w:cs="仿宋"/>
                <w:szCs w:val="21"/>
              </w:rPr>
              <w:t>.5</w:t>
            </w:r>
          </w:p>
        </w:tc>
        <w:tc>
          <w:tcPr>
            <w:tcW w:w="1701" w:type="dxa"/>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讲授式 案例式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 w:hRule="atLeast"/>
          <w:jc w:val="center"/>
        </w:trPr>
        <w:tc>
          <w:tcPr>
            <w:tcW w:w="1790" w:type="dxa"/>
            <w:vMerge w:val="continue"/>
            <w:noWrap w:val="0"/>
            <w:vAlign w:val="center"/>
          </w:tcPr>
          <w:p>
            <w:pPr>
              <w:snapToGrid w:val="0"/>
              <w:spacing w:line="380" w:lineRule="exact"/>
              <w:jc w:val="center"/>
              <w:rPr>
                <w:rFonts w:ascii="仿宋" w:hAnsi="仿宋" w:eastAsia="仿宋" w:cs="仿宋"/>
                <w:b/>
                <w:szCs w:val="21"/>
              </w:rPr>
            </w:pPr>
          </w:p>
        </w:tc>
        <w:tc>
          <w:tcPr>
            <w:tcW w:w="3398" w:type="dxa"/>
            <w:noWrap w:val="0"/>
            <w:vAlign w:val="center"/>
          </w:tcPr>
          <w:p>
            <w:pPr>
              <w:snapToGrid w:val="0"/>
              <w:spacing w:line="380" w:lineRule="exact"/>
              <w:rPr>
                <w:rFonts w:ascii="仿宋" w:hAnsi="仿宋" w:eastAsia="仿宋" w:cs="仿宋"/>
                <w:szCs w:val="21"/>
              </w:rPr>
            </w:pPr>
            <w:r>
              <w:rPr>
                <w:rFonts w:hint="eastAsia" w:ascii="仿宋" w:hAnsi="仿宋" w:eastAsia="仿宋" w:cs="仿宋"/>
                <w:szCs w:val="21"/>
              </w:rPr>
              <w:t>8</w:t>
            </w:r>
            <w:r>
              <w:rPr>
                <w:rFonts w:ascii="仿宋" w:hAnsi="仿宋" w:eastAsia="仿宋" w:cs="仿宋"/>
                <w:szCs w:val="21"/>
              </w:rPr>
              <w:t>.</w:t>
            </w:r>
            <w:r>
              <w:rPr>
                <w:rFonts w:hint="eastAsia" w:ascii="仿宋" w:hAnsi="仿宋" w:eastAsia="仿宋" w:cs="仿宋"/>
                <w:szCs w:val="21"/>
              </w:rPr>
              <w:t>大企业重难点业务财税风险管理及防范</w:t>
            </w:r>
          </w:p>
        </w:tc>
        <w:tc>
          <w:tcPr>
            <w:tcW w:w="1559" w:type="dxa"/>
            <w:noWrap w:val="0"/>
            <w:vAlign w:val="center"/>
          </w:tcPr>
          <w:p>
            <w:pPr>
              <w:snapToGrid w:val="0"/>
              <w:spacing w:line="380" w:lineRule="exact"/>
              <w:jc w:val="center"/>
              <w:rPr>
                <w:rFonts w:ascii="仿宋" w:hAnsi="仿宋" w:eastAsia="仿宋" w:cs="仿宋"/>
                <w:szCs w:val="21"/>
              </w:rPr>
            </w:pPr>
            <w:r>
              <w:rPr>
                <w:rFonts w:ascii="仿宋" w:hAnsi="仿宋" w:eastAsia="仿宋" w:cs="仿宋"/>
                <w:szCs w:val="21"/>
              </w:rPr>
              <w:t>0.5</w:t>
            </w:r>
          </w:p>
        </w:tc>
        <w:tc>
          <w:tcPr>
            <w:tcW w:w="1701" w:type="dxa"/>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 w:hRule="atLeast"/>
          <w:jc w:val="center"/>
        </w:trPr>
        <w:tc>
          <w:tcPr>
            <w:tcW w:w="1790" w:type="dxa"/>
            <w:vMerge w:val="continue"/>
            <w:noWrap w:val="0"/>
            <w:vAlign w:val="center"/>
          </w:tcPr>
          <w:p>
            <w:pPr>
              <w:snapToGrid w:val="0"/>
              <w:spacing w:line="380" w:lineRule="exact"/>
              <w:jc w:val="center"/>
              <w:rPr>
                <w:rFonts w:ascii="仿宋" w:hAnsi="仿宋" w:eastAsia="仿宋" w:cs="仿宋"/>
                <w:b/>
                <w:szCs w:val="21"/>
              </w:rPr>
            </w:pPr>
          </w:p>
        </w:tc>
        <w:tc>
          <w:tcPr>
            <w:tcW w:w="3398" w:type="dxa"/>
            <w:noWrap w:val="0"/>
            <w:vAlign w:val="center"/>
          </w:tcPr>
          <w:p>
            <w:pPr>
              <w:snapToGrid w:val="0"/>
              <w:spacing w:line="380" w:lineRule="exact"/>
              <w:rPr>
                <w:rFonts w:ascii="仿宋" w:hAnsi="仿宋" w:eastAsia="仿宋" w:cs="仿宋"/>
                <w:szCs w:val="21"/>
              </w:rPr>
            </w:pPr>
            <w:r>
              <w:rPr>
                <w:rFonts w:hint="eastAsia" w:ascii="仿宋" w:hAnsi="仿宋" w:eastAsia="仿宋" w:cs="仿宋"/>
                <w:szCs w:val="21"/>
              </w:rPr>
              <w:t>9</w:t>
            </w:r>
            <w:r>
              <w:rPr>
                <w:rFonts w:ascii="仿宋" w:hAnsi="仿宋" w:eastAsia="仿宋" w:cs="仿宋"/>
                <w:szCs w:val="21"/>
              </w:rPr>
              <w:t>.</w:t>
            </w:r>
            <w:r>
              <w:rPr>
                <w:rFonts w:hint="eastAsia" w:ascii="仿宋" w:hAnsi="仿宋" w:eastAsia="仿宋" w:cs="仿宋"/>
                <w:szCs w:val="21"/>
              </w:rPr>
              <w:t>新企业会计准则在大企业风险管理中的应用</w:t>
            </w:r>
          </w:p>
        </w:tc>
        <w:tc>
          <w:tcPr>
            <w:tcW w:w="1559" w:type="dxa"/>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0</w:t>
            </w:r>
            <w:r>
              <w:rPr>
                <w:rFonts w:ascii="仿宋" w:hAnsi="仿宋" w:eastAsia="仿宋" w:cs="仿宋"/>
                <w:szCs w:val="21"/>
              </w:rPr>
              <w:t>.5</w:t>
            </w:r>
          </w:p>
        </w:tc>
        <w:tc>
          <w:tcPr>
            <w:tcW w:w="1701" w:type="dxa"/>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 w:hRule="atLeast"/>
          <w:jc w:val="center"/>
        </w:trPr>
        <w:tc>
          <w:tcPr>
            <w:tcW w:w="1790" w:type="dxa"/>
            <w:vMerge w:val="continue"/>
            <w:noWrap w:val="0"/>
            <w:vAlign w:val="center"/>
          </w:tcPr>
          <w:p>
            <w:pPr>
              <w:snapToGrid w:val="0"/>
              <w:spacing w:line="380" w:lineRule="exact"/>
              <w:jc w:val="center"/>
              <w:rPr>
                <w:rFonts w:ascii="仿宋" w:hAnsi="仿宋" w:eastAsia="仿宋" w:cs="仿宋"/>
                <w:b/>
                <w:szCs w:val="21"/>
              </w:rPr>
            </w:pPr>
          </w:p>
        </w:tc>
        <w:tc>
          <w:tcPr>
            <w:tcW w:w="3398" w:type="dxa"/>
            <w:noWrap w:val="0"/>
            <w:vAlign w:val="center"/>
          </w:tcPr>
          <w:p>
            <w:pPr>
              <w:snapToGrid w:val="0"/>
              <w:spacing w:line="380" w:lineRule="exact"/>
              <w:rPr>
                <w:rFonts w:ascii="仿宋" w:hAnsi="仿宋" w:eastAsia="仿宋" w:cs="仿宋"/>
                <w:szCs w:val="21"/>
              </w:rPr>
            </w:pPr>
            <w:r>
              <w:rPr>
                <w:rFonts w:ascii="仿宋" w:hAnsi="仿宋" w:eastAsia="仿宋" w:cs="仿宋"/>
                <w:szCs w:val="21"/>
              </w:rPr>
              <w:t>10</w:t>
            </w:r>
            <w:r>
              <w:rPr>
                <w:rFonts w:hint="eastAsia" w:ascii="仿宋" w:hAnsi="仿宋" w:eastAsia="仿宋" w:cs="仿宋"/>
                <w:szCs w:val="21"/>
              </w:rPr>
              <w:t>.研讨交流：大企业税收风险管理工作经验分享</w:t>
            </w:r>
          </w:p>
        </w:tc>
        <w:tc>
          <w:tcPr>
            <w:tcW w:w="1559" w:type="dxa"/>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0</w:t>
            </w:r>
            <w:r>
              <w:rPr>
                <w:rFonts w:ascii="仿宋" w:hAnsi="仿宋" w:eastAsia="仿宋" w:cs="仿宋"/>
                <w:szCs w:val="21"/>
              </w:rPr>
              <w:t>.5</w:t>
            </w:r>
          </w:p>
        </w:tc>
        <w:tc>
          <w:tcPr>
            <w:tcW w:w="1701" w:type="dxa"/>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研讨式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7" w:hRule="atLeast"/>
          <w:jc w:val="center"/>
        </w:trPr>
        <w:tc>
          <w:tcPr>
            <w:tcW w:w="1790" w:type="dxa"/>
            <w:vMerge w:val="restart"/>
            <w:noWrap w:val="0"/>
            <w:vAlign w:val="center"/>
          </w:tcPr>
          <w:p>
            <w:pPr>
              <w:snapToGrid w:val="0"/>
              <w:spacing w:line="380" w:lineRule="exact"/>
              <w:jc w:val="center"/>
              <w:rPr>
                <w:rFonts w:ascii="仿宋" w:hAnsi="仿宋" w:eastAsia="仿宋" w:cs="仿宋"/>
                <w:b/>
                <w:szCs w:val="21"/>
              </w:rPr>
            </w:pPr>
            <w:r>
              <w:rPr>
                <w:rFonts w:hint="eastAsia" w:ascii="仿宋" w:hAnsi="仿宋" w:eastAsia="仿宋" w:cs="仿宋"/>
                <w:b/>
                <w:szCs w:val="21"/>
              </w:rPr>
              <w:t>非课程环节模块</w:t>
            </w:r>
          </w:p>
          <w:p>
            <w:pPr>
              <w:snapToGrid w:val="0"/>
              <w:spacing w:line="380" w:lineRule="exact"/>
              <w:jc w:val="center"/>
              <w:rPr>
                <w:rFonts w:ascii="仿宋" w:hAnsi="仿宋" w:eastAsia="仿宋" w:cs="仿宋"/>
                <w:b/>
                <w:szCs w:val="21"/>
              </w:rPr>
            </w:pPr>
            <w:r>
              <w:rPr>
                <w:rFonts w:hint="eastAsia" w:ascii="仿宋" w:hAnsi="仿宋" w:eastAsia="仿宋" w:cs="仿宋"/>
                <w:b/>
                <w:szCs w:val="21"/>
              </w:rPr>
              <w:t>（3天）</w:t>
            </w:r>
          </w:p>
        </w:tc>
        <w:tc>
          <w:tcPr>
            <w:tcW w:w="3398" w:type="dxa"/>
            <w:noWrap w:val="0"/>
            <w:vAlign w:val="center"/>
          </w:tcPr>
          <w:p>
            <w:pPr>
              <w:snapToGrid w:val="0"/>
              <w:spacing w:line="380" w:lineRule="exact"/>
              <w:rPr>
                <w:rFonts w:ascii="仿宋" w:hAnsi="仿宋" w:eastAsia="仿宋" w:cs="仿宋"/>
                <w:szCs w:val="21"/>
              </w:rPr>
            </w:pPr>
            <w:r>
              <w:rPr>
                <w:rFonts w:hint="eastAsia" w:ascii="仿宋" w:hAnsi="仿宋" w:eastAsia="仿宋" w:cs="仿宋"/>
                <w:szCs w:val="21"/>
              </w:rPr>
              <w:t>1.报到、返程</w:t>
            </w:r>
          </w:p>
        </w:tc>
        <w:tc>
          <w:tcPr>
            <w:tcW w:w="1559" w:type="dxa"/>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2</w:t>
            </w:r>
          </w:p>
        </w:tc>
        <w:tc>
          <w:tcPr>
            <w:tcW w:w="1701" w:type="dxa"/>
            <w:noWrap w:val="0"/>
            <w:vAlign w:val="center"/>
          </w:tcPr>
          <w:p>
            <w:pPr>
              <w:spacing w:line="380" w:lineRule="exact"/>
              <w:jc w:val="center"/>
              <w:rPr>
                <w:rFonts w:ascii="仿宋" w:hAnsi="仿宋" w:eastAsia="仿宋" w:cs="仿宋"/>
                <w:szCs w:val="21"/>
              </w:rPr>
            </w:pPr>
            <w:r>
              <w:rPr>
                <w:rFonts w:hint="eastAsia" w:ascii="仿宋" w:hAnsi="仿宋" w:eastAsia="仿宋" w:cs="仿宋"/>
                <w:szCs w:val="21"/>
              </w:rPr>
              <w:t>总务处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7" w:hRule="atLeast"/>
          <w:jc w:val="center"/>
        </w:trPr>
        <w:tc>
          <w:tcPr>
            <w:tcW w:w="1790" w:type="dxa"/>
            <w:vMerge w:val="continue"/>
            <w:noWrap w:val="0"/>
            <w:vAlign w:val="center"/>
          </w:tcPr>
          <w:p>
            <w:pPr>
              <w:snapToGrid w:val="0"/>
              <w:spacing w:line="380" w:lineRule="exact"/>
              <w:jc w:val="center"/>
              <w:rPr>
                <w:rFonts w:ascii="仿宋" w:hAnsi="仿宋" w:eastAsia="仿宋" w:cs="仿宋"/>
                <w:b/>
                <w:szCs w:val="21"/>
              </w:rPr>
            </w:pPr>
          </w:p>
        </w:tc>
        <w:tc>
          <w:tcPr>
            <w:tcW w:w="3398" w:type="dxa"/>
            <w:noWrap w:val="0"/>
            <w:vAlign w:val="center"/>
          </w:tcPr>
          <w:p>
            <w:pPr>
              <w:snapToGrid w:val="0"/>
              <w:spacing w:line="380" w:lineRule="exact"/>
              <w:rPr>
                <w:rFonts w:ascii="仿宋" w:hAnsi="仿宋" w:eastAsia="仿宋" w:cs="仿宋"/>
                <w:szCs w:val="21"/>
              </w:rPr>
            </w:pPr>
            <w:r>
              <w:rPr>
                <w:rFonts w:hint="eastAsia" w:ascii="仿宋" w:hAnsi="仿宋" w:eastAsia="仿宋" w:cs="仿宋"/>
                <w:szCs w:val="21"/>
              </w:rPr>
              <w:t>2.休息</w:t>
            </w:r>
          </w:p>
        </w:tc>
        <w:tc>
          <w:tcPr>
            <w:tcW w:w="1559" w:type="dxa"/>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1</w:t>
            </w:r>
          </w:p>
        </w:tc>
        <w:tc>
          <w:tcPr>
            <w:tcW w:w="1701" w:type="dxa"/>
            <w:noWrap w:val="0"/>
            <w:vAlign w:val="top"/>
          </w:tcPr>
          <w:p>
            <w:pPr>
              <w:snapToGrid w:val="0"/>
              <w:spacing w:line="380" w:lineRule="exact"/>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188" w:type="dxa"/>
            <w:gridSpan w:val="2"/>
            <w:noWrap w:val="0"/>
            <w:vAlign w:val="center"/>
          </w:tcPr>
          <w:p>
            <w:pPr>
              <w:snapToGrid w:val="0"/>
              <w:spacing w:line="380" w:lineRule="exact"/>
              <w:jc w:val="center"/>
              <w:rPr>
                <w:rFonts w:ascii="仿宋" w:hAnsi="仿宋" w:eastAsia="仿宋" w:cs="仿宋"/>
                <w:b/>
                <w:szCs w:val="21"/>
              </w:rPr>
            </w:pPr>
            <w:r>
              <w:rPr>
                <w:rFonts w:hint="eastAsia" w:ascii="仿宋" w:hAnsi="仿宋" w:eastAsia="仿宋" w:cs="仿宋"/>
                <w:b/>
                <w:szCs w:val="21"/>
              </w:rPr>
              <w:t>合   计</w:t>
            </w:r>
          </w:p>
        </w:tc>
        <w:tc>
          <w:tcPr>
            <w:tcW w:w="3260" w:type="dxa"/>
            <w:gridSpan w:val="2"/>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10</w:t>
            </w:r>
          </w:p>
        </w:tc>
      </w:tr>
    </w:tbl>
    <w:p>
      <w:pPr>
        <w:adjustRightInd w:val="0"/>
        <w:snapToGrid w:val="0"/>
        <w:spacing w:line="380" w:lineRule="exact"/>
        <w:rPr>
          <w:rFonts w:ascii="仿宋" w:hAnsi="仿宋" w:eastAsia="仿宋" w:cs="仿宋"/>
          <w:b/>
          <w:color w:val="FF0000"/>
          <w:sz w:val="28"/>
          <w:szCs w:val="28"/>
        </w:rPr>
      </w:pPr>
    </w:p>
    <w:p>
      <w:pPr>
        <w:adjustRightInd w:val="0"/>
        <w:snapToGrid w:val="0"/>
        <w:spacing w:line="440" w:lineRule="exact"/>
        <w:rPr>
          <w:rFonts w:hint="eastAsia" w:ascii="仿宋" w:hAnsi="仿宋" w:eastAsia="仿宋" w:cs="仿宋"/>
          <w:sz w:val="28"/>
          <w:szCs w:val="28"/>
        </w:rPr>
      </w:pPr>
    </w:p>
    <w:p>
      <w:pPr>
        <w:adjustRightInd w:val="0"/>
        <w:snapToGrid w:val="0"/>
        <w:spacing w:line="440" w:lineRule="exact"/>
        <w:rPr>
          <w:rFonts w:hint="eastAsia" w:ascii="仿宋" w:hAnsi="仿宋" w:eastAsia="仿宋" w:cs="仿宋"/>
          <w:sz w:val="28"/>
          <w:szCs w:val="28"/>
        </w:rPr>
      </w:pPr>
    </w:p>
    <w:p>
      <w:pPr>
        <w:adjustRightInd w:val="0"/>
        <w:snapToGrid w:val="0"/>
        <w:spacing w:line="440" w:lineRule="exact"/>
        <w:rPr>
          <w:rFonts w:hint="eastAsia" w:ascii="仿宋" w:hAnsi="仿宋" w:eastAsia="仿宋" w:cs="仿宋"/>
          <w:sz w:val="28"/>
          <w:szCs w:val="28"/>
        </w:rPr>
      </w:pPr>
    </w:p>
    <w:p>
      <w:pPr>
        <w:adjustRightInd w:val="0"/>
        <w:snapToGrid w:val="0"/>
        <w:spacing w:line="440" w:lineRule="exact"/>
        <w:rPr>
          <w:rFonts w:hint="eastAsia" w:ascii="仿宋" w:hAnsi="仿宋" w:eastAsia="仿宋" w:cs="仿宋"/>
          <w:sz w:val="28"/>
          <w:szCs w:val="28"/>
        </w:rPr>
      </w:pPr>
    </w:p>
    <w:p>
      <w:pPr>
        <w:adjustRightInd w:val="0"/>
        <w:snapToGrid w:val="0"/>
        <w:spacing w:line="440" w:lineRule="exact"/>
        <w:rPr>
          <w:rFonts w:hint="eastAsia" w:ascii="仿宋" w:hAnsi="仿宋" w:eastAsia="仿宋" w:cs="仿宋"/>
          <w:sz w:val="28"/>
          <w:szCs w:val="28"/>
        </w:rPr>
      </w:pPr>
    </w:p>
    <w:p>
      <w:pPr>
        <w:adjustRightInd w:val="0"/>
        <w:snapToGrid w:val="0"/>
        <w:spacing w:line="440" w:lineRule="exact"/>
        <w:rPr>
          <w:rFonts w:hint="eastAsia" w:ascii="仿宋" w:hAnsi="仿宋" w:eastAsia="仿宋" w:cs="仿宋"/>
          <w:sz w:val="28"/>
          <w:szCs w:val="28"/>
        </w:rPr>
      </w:pPr>
    </w:p>
    <w:p>
      <w:pPr>
        <w:adjustRightInd w:val="0"/>
        <w:snapToGrid w:val="0"/>
        <w:spacing w:line="440" w:lineRule="exact"/>
        <w:rPr>
          <w:rFonts w:hint="eastAsia" w:ascii="仿宋" w:hAnsi="仿宋" w:eastAsia="仿宋" w:cs="仿宋"/>
          <w:sz w:val="28"/>
          <w:szCs w:val="28"/>
        </w:rPr>
      </w:pPr>
    </w:p>
    <w:p>
      <w:bookmarkStart w:id="0" w:name="_GoBack"/>
      <w:bookmarkEnd w:id="0"/>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202"/>
      <w:rPr>
        <w:rFonts w:ascii="Calibri" w:hAnsi="Calibri" w:eastAsia="Calibri" w:cs="Calibri"/>
        <w:sz w:val="18"/>
        <w:szCs w:val="18"/>
      </w:rPr>
    </w:pPr>
    <w:r>
      <w:rPr>
        <w:rFonts w:ascii="Calibri" w:hAnsi="Calibri" w:eastAsia="Calibri" w:cs="Calibri"/>
        <w:sz w:val="18"/>
        <w:szCs w:val="18"/>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xYTIzZWExZjVjYWMxZTMyNGVmODFjZDBkNWJkNzkifQ=="/>
  </w:docVars>
  <w:rsids>
    <w:rsidRoot w:val="00000000"/>
    <w:rsid w:val="12C44C4C"/>
    <w:rsid w:val="60F86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8"/>
      <w:szCs w:val="28"/>
      <w:lang w:val="en-US" w:eastAsia="en-US" w:bidi="ar-SA"/>
    </w:rPr>
  </w:style>
  <w:style w:type="paragraph" w:customStyle="1" w:styleId="5">
    <w:name w:val="Table Text"/>
    <w:basedOn w:val="1"/>
    <w:semiHidden/>
    <w:qFormat/>
    <w:uiPriority w:val="0"/>
    <w:rPr>
      <w:rFonts w:ascii="仿宋" w:hAnsi="仿宋" w:eastAsia="仿宋" w:cs="仿宋"/>
      <w:sz w:val="21"/>
      <w:szCs w:val="21"/>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2023-12-26T07:40:00Z</dcterms:created>
  <dc:creator>dlglh</dc:creator>
  <cp:lastModifiedBy>顾</cp:lastModifiedBy>
  <dcterms:modified xsi:type="dcterms:W3CDTF">2023-12-26T14:27:50Z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8C6A86C74BFB4C7AAC6110D6446D3C61_12</vt:lpwstr>
  </property>
</Properties>
</file>