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税务系统副</w:t>
      </w:r>
      <w:r>
        <w:rPr>
          <w:rFonts w:ascii="黑体" w:hAnsi="黑体" w:eastAsia="黑体"/>
          <w:sz w:val="32"/>
          <w:szCs w:val="32"/>
        </w:rPr>
        <w:t>处级领导干部任职培训班</w:t>
      </w:r>
    </w:p>
    <w:bookmarkEnd w:id="0"/>
    <w:p>
      <w:pPr>
        <w:tabs>
          <w:tab w:val="left" w:pos="3233"/>
        </w:tabs>
        <w:spacing w:after="156" w:afterLines="50" w:line="360" w:lineRule="auto"/>
        <w:jc w:val="center"/>
        <w:rPr>
          <w:rFonts w:hint="eastAsia"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计划书</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根据国家税务总局</w:t>
      </w:r>
      <w:r>
        <w:rPr>
          <w:rFonts w:hint="eastAsia" w:ascii="仿宋" w:hAnsi="仿宋" w:eastAsia="仿宋" w:cs="仿宋"/>
          <w:sz w:val="28"/>
          <w:szCs w:val="28"/>
        </w:rPr>
        <w:t>《全国税务系统公务员任职培训实施办法》规定，任职培训采取混合培训方式，以党的理论、领导能力和综合能力等为重点，进一步提升新任职处级领导干部政治能力、履职能力和风险防范能力等，本项目计划为线下集中培训方案。</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税务系统</w:t>
      </w:r>
      <w:r>
        <w:rPr>
          <w:rFonts w:hint="eastAsia" w:ascii="仿宋" w:hAnsi="仿宋" w:eastAsia="仿宋" w:cs="仿宋"/>
          <w:sz w:val="28"/>
          <w:szCs w:val="28"/>
        </w:rPr>
        <w:t>副</w:t>
      </w:r>
      <w:r>
        <w:rPr>
          <w:rFonts w:ascii="仿宋" w:hAnsi="仿宋" w:eastAsia="仿宋" w:cs="仿宋"/>
          <w:sz w:val="28"/>
          <w:szCs w:val="28"/>
        </w:rPr>
        <w:t>处级领导干部</w:t>
      </w:r>
      <w:r>
        <w:rPr>
          <w:rFonts w:hint="eastAsia" w:ascii="仿宋" w:hAnsi="仿宋" w:eastAsia="仿宋" w:cs="仿宋"/>
          <w:sz w:val="28"/>
          <w:szCs w:val="28"/>
        </w:rPr>
        <w:t>，具体包括：1.地市局副局长；2.机关副处长。</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深入学习贯彻习近平新时代中国特色社会主义思想和党的二十大及二十届三中全会精神，加强党性修养，提高政治“三力”。</w:t>
      </w:r>
    </w:p>
    <w:p>
      <w:pPr>
        <w:adjustRightInd w:val="0"/>
        <w:snapToGrid w:val="0"/>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认识和把握领导规律，达到新任领导职务所需要的领导能力和管理水平，提高岗位胜任力。</w:t>
      </w:r>
    </w:p>
    <w:p>
      <w:pPr>
        <w:adjustRightInd w:val="0"/>
        <w:snapToGrid w:val="0"/>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学习中央关于经济体制、财税体制改革及《税收征管法》修订有关精神，了解和把握税收工作重点、难点、热点问题,提高税收治理能力和治理水平。</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在校培训时间共1</w:t>
      </w:r>
      <w:r>
        <w:rPr>
          <w:rFonts w:ascii="仿宋" w:hAnsi="仿宋" w:eastAsia="仿宋" w:cs="仿宋"/>
          <w:sz w:val="28"/>
          <w:szCs w:val="28"/>
        </w:rPr>
        <w:t>5</w:t>
      </w:r>
      <w:r>
        <w:rPr>
          <w:rFonts w:hint="eastAsia" w:ascii="仿宋" w:hAnsi="仿宋" w:eastAsia="仿宋" w:cs="仿宋"/>
          <w:sz w:val="28"/>
          <w:szCs w:val="28"/>
        </w:rPr>
        <w:t>天，其中课程环节13天，非课程环节2天。</w:t>
      </w:r>
    </w:p>
    <w:p>
      <w:pPr>
        <w:numPr>
          <w:ilvl w:val="0"/>
          <w:numId w:val="1"/>
        </w:num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课程设置</w:t>
      </w:r>
    </w:p>
    <w:tbl>
      <w:tblPr>
        <w:tblStyle w:val="2"/>
        <w:tblW w:w="91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4013"/>
        <w:gridCol w:w="1259"/>
        <w:gridCol w:w="1221"/>
        <w:gridCol w:w="12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38"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 块</w:t>
            </w:r>
          </w:p>
        </w:tc>
        <w:tc>
          <w:tcPr>
            <w:tcW w:w="4013"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259"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221"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212"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理论武装</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与纪律规矩教育</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（4天）</w:t>
            </w: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学习贯彻习近平总书记党的建设重要思想 以高质量党建引领保障中国式现代化税务实践</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438" w:type="dxa"/>
            <w:vMerge w:val="continue"/>
            <w:tcBorders>
              <w:tl2br w:val="nil"/>
              <w:tr2bl w:val="nil"/>
            </w:tcBorders>
            <w:vAlign w:val="center"/>
          </w:tcPr>
          <w:p>
            <w:pPr>
              <w:snapToGrid w:val="0"/>
              <w:spacing w:line="360" w:lineRule="exact"/>
              <w:jc w:val="left"/>
              <w:rPr>
                <w:rFonts w:hint="eastAsia" w:ascii="仿宋" w:hAnsi="仿宋" w:eastAsia="仿宋" w:cs="仿宋"/>
                <w:b/>
                <w:sz w:val="24"/>
              </w:rPr>
            </w:pPr>
          </w:p>
        </w:tc>
        <w:tc>
          <w:tcPr>
            <w:tcW w:w="4013" w:type="dxa"/>
            <w:tcBorders>
              <w:tl2br w:val="nil"/>
              <w:tr2bl w:val="nil"/>
            </w:tcBorders>
            <w:vAlign w:val="center"/>
          </w:tcPr>
          <w:p>
            <w:pPr>
              <w:spacing w:line="360" w:lineRule="exact"/>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 xml:space="preserve">2.深入学习贯彻习近平经济思想 </w:t>
            </w:r>
            <w:r>
              <w:rPr>
                <w:rFonts w:hint="eastAsia" w:ascii="仿宋" w:hAnsi="仿宋" w:eastAsia="仿宋" w:cs="仿宋"/>
                <w:sz w:val="24"/>
              </w:rPr>
              <w:t>以经济体制改革为牵引推进全面深化改革 实现经济高质量发展</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21"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jc w:val="lef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学习贯彻“总体国家安全观”，筑牢底线思维、强化风险意识</w:t>
            </w:r>
          </w:p>
        </w:tc>
        <w:tc>
          <w:tcPr>
            <w:tcW w:w="1259"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外聘教师</w:t>
            </w:r>
          </w:p>
        </w:tc>
        <w:tc>
          <w:tcPr>
            <w:tcW w:w="1212"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jc w:val="left"/>
              <w:rPr>
                <w:rFonts w:hint="eastAsia" w:ascii="仿宋" w:hAnsi="仿宋" w:eastAsia="仿宋" w:cs="仿宋"/>
                <w:b/>
                <w:sz w:val="24"/>
              </w:rPr>
            </w:pPr>
          </w:p>
        </w:tc>
        <w:tc>
          <w:tcPr>
            <w:tcW w:w="4013" w:type="dxa"/>
            <w:tcBorders>
              <w:tl2br w:val="nil"/>
              <w:tr2bl w:val="nil"/>
            </w:tcBorders>
            <w:vAlign w:val="center"/>
          </w:tcPr>
          <w:p>
            <w:pPr>
              <w:spacing w:line="360" w:lineRule="exact"/>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color w:val="000000" w:themeColor="text1"/>
                <w:sz w:val="24"/>
                <w14:textFill>
                  <w14:solidFill>
                    <w14:schemeClr w14:val="tx1"/>
                  </w14:solidFill>
                </w14:textFill>
              </w:rPr>
              <w:t>把“两个确立”融入灵魂、化为行动</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0.5</w:t>
            </w:r>
          </w:p>
        </w:tc>
        <w:tc>
          <w:tcPr>
            <w:tcW w:w="1221"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jc w:val="lef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5.坚持从严治税 税务系统违纪违法典型案例警示教育</w:t>
            </w:r>
          </w:p>
        </w:tc>
        <w:tc>
          <w:tcPr>
            <w:tcW w:w="1259" w:type="dxa"/>
            <w:tcBorders>
              <w:tl2br w:val="nil"/>
              <w:tr2bl w:val="nil"/>
            </w:tcBorders>
            <w:vAlign w:val="center"/>
          </w:tcPr>
          <w:p>
            <w:pPr>
              <w:snapToGrid w:val="0"/>
              <w:spacing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jc w:val="lef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6.主题党日活动</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1</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jc w:val="left"/>
              <w:rPr>
                <w:rFonts w:hint="eastAsia" w:ascii="仿宋" w:hAnsi="仿宋" w:eastAsia="仿宋" w:cs="仿宋"/>
                <w:b/>
                <w:sz w:val="24"/>
              </w:rPr>
            </w:pPr>
          </w:p>
        </w:tc>
        <w:tc>
          <w:tcPr>
            <w:tcW w:w="4013" w:type="dxa"/>
            <w:tcBorders>
              <w:tl2br w:val="nil"/>
              <w:tr2bl w:val="nil"/>
            </w:tcBorders>
            <w:vAlign w:val="center"/>
          </w:tcPr>
          <w:p>
            <w:pPr>
              <w:spacing w:line="360" w:lineRule="exact"/>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w:t>
            </w:r>
            <w:r>
              <w:rPr>
                <w:rFonts w:hint="eastAsia" w:ascii="仿宋" w:hAnsi="仿宋" w:eastAsia="仿宋" w:cs="仿宋"/>
                <w:sz w:val="24"/>
              </w:rPr>
              <w:t>入学教育、项目说明、开班仪式、训前测试</w:t>
            </w:r>
          </w:p>
        </w:tc>
        <w:tc>
          <w:tcPr>
            <w:tcW w:w="1259" w:type="dxa"/>
            <w:tcBorders>
              <w:tl2br w:val="nil"/>
              <w:tr2bl w:val="nil"/>
            </w:tcBorders>
            <w:vAlign w:val="center"/>
          </w:tcPr>
          <w:p>
            <w:pPr>
              <w:spacing w:line="360" w:lineRule="exact"/>
              <w:jc w:val="center"/>
              <w:rPr>
                <w:rFonts w:hint="eastAsia" w:ascii="仿宋" w:hAnsi="仿宋" w:eastAsia="仿宋" w:cs="仿宋"/>
                <w:sz w:val="24"/>
              </w:rPr>
            </w:pPr>
            <w:r>
              <w:rPr>
                <w:rFonts w:ascii="仿宋" w:hAnsi="仿宋" w:eastAsia="仿宋" w:cs="仿宋"/>
                <w:sz w:val="24"/>
              </w:rPr>
              <w:t>0.</w:t>
            </w:r>
            <w:r>
              <w:rPr>
                <w:rFonts w:hint="eastAsia" w:ascii="仿宋" w:hAnsi="仿宋" w:eastAsia="仿宋" w:cs="仿宋"/>
                <w:sz w:val="24"/>
              </w:rPr>
              <w:t>5</w:t>
            </w:r>
          </w:p>
        </w:tc>
        <w:tc>
          <w:tcPr>
            <w:tcW w:w="1221"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项目组</w:t>
            </w:r>
          </w:p>
        </w:tc>
        <w:tc>
          <w:tcPr>
            <w:tcW w:w="1212" w:type="dxa"/>
            <w:tcBorders>
              <w:tl2br w:val="nil"/>
              <w:tr2bl w:val="nil"/>
            </w:tcBorders>
            <w:vAlign w:val="center"/>
          </w:tcPr>
          <w:p>
            <w:pPr>
              <w:snapToGrid w:val="0"/>
              <w:spacing w:line="360" w:lineRule="exact"/>
              <w:ind w:firstLine="240" w:firstLineChars="100"/>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领导能力</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提升</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（5天）</w:t>
            </w: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 xml:space="preserve">坚持正确权利观政绩观事业观 </w:t>
            </w:r>
            <w:r>
              <w:rPr>
                <w:rFonts w:ascii="仿宋" w:hAnsi="仿宋" w:eastAsia="仿宋" w:cs="仿宋"/>
                <w:sz w:val="24"/>
              </w:rPr>
              <w:t>贯彻“效能税务”建设要求</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w:t>
            </w:r>
            <w:r>
              <w:rPr>
                <w:rFonts w:ascii="仿宋" w:hAnsi="仿宋" w:eastAsia="仿宋" w:cs="仿宋"/>
                <w:sz w:val="24"/>
              </w:rPr>
              <w:t>.5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外聘教师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2.提升领导力 做赋能型领导者</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.提高</w:t>
            </w:r>
            <w:r>
              <w:rPr>
                <w:rFonts w:hint="eastAsia" w:ascii="仿宋" w:hAnsi="仿宋" w:eastAsia="仿宋" w:cs="仿宋"/>
                <w:sz w:val="24"/>
              </w:rPr>
              <w:t>新形势下涉税舆情风险防范与应对处置能力</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外聘教师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坚持党的文化领导权 提升新时代意识形态工作能力</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w:t>
            </w:r>
            <w:r>
              <w:rPr>
                <w:rFonts w:ascii="仿宋" w:hAnsi="仿宋" w:eastAsia="仿宋" w:cs="仿宋"/>
                <w:sz w:val="24"/>
              </w:rPr>
              <w:t>.5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领导决策与决策行为改观训练</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实训式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大班制研讨：提升履职能力 当好处级领导干部</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w:t>
            </w:r>
            <w:r>
              <w:rPr>
                <w:rFonts w:hint="eastAsia" w:ascii="仿宋" w:hAnsi="仿宋" w:eastAsia="仿宋" w:cs="仿宋"/>
                <w:sz w:val="24"/>
              </w:rPr>
              <w:t>现场教学</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1</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pacing w:line="360" w:lineRule="exact"/>
              <w:rPr>
                <w:rFonts w:hint="eastAsia" w:ascii="仿宋" w:hAnsi="仿宋" w:eastAsia="仿宋" w:cs="仿宋"/>
                <w:sz w:val="24"/>
              </w:rPr>
            </w:pPr>
            <w:r>
              <w:rPr>
                <w:rFonts w:hint="eastAsia" w:ascii="仿宋" w:hAnsi="仿宋" w:eastAsia="仿宋" w:cs="仿宋"/>
                <w:sz w:val="24"/>
              </w:rPr>
              <w:t>8</w:t>
            </w:r>
            <w:r>
              <w:rPr>
                <w:rFonts w:ascii="仿宋" w:hAnsi="仿宋" w:eastAsia="仿宋" w:cs="仿宋"/>
                <w:sz w:val="24"/>
              </w:rPr>
              <w:t>.</w:t>
            </w:r>
            <w:r>
              <w:rPr>
                <w:rFonts w:hint="eastAsia" w:ascii="仿宋" w:hAnsi="仿宋" w:eastAsia="仿宋" w:cs="仿宋"/>
                <w:sz w:val="24"/>
              </w:rPr>
              <w:t>破冰：学习型团队建设</w:t>
            </w:r>
          </w:p>
        </w:tc>
        <w:tc>
          <w:tcPr>
            <w:tcW w:w="1259"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w:t>
            </w:r>
            <w:r>
              <w:rPr>
                <w:rFonts w:ascii="仿宋" w:hAnsi="仿宋" w:eastAsia="仿宋" w:cs="仿宋"/>
                <w:sz w:val="24"/>
              </w:rPr>
              <w:t>.25</w:t>
            </w:r>
          </w:p>
        </w:tc>
        <w:tc>
          <w:tcPr>
            <w:tcW w:w="1221"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pacing w:line="360" w:lineRule="exact"/>
              <w:rPr>
                <w:rFonts w:hint="eastAsia" w:ascii="仿宋" w:hAnsi="仿宋" w:eastAsia="仿宋" w:cs="仿宋"/>
                <w:sz w:val="24"/>
              </w:rPr>
            </w:pPr>
            <w:r>
              <w:rPr>
                <w:rFonts w:hint="eastAsia" w:ascii="仿宋" w:hAnsi="仿宋" w:eastAsia="仿宋" w:cs="仿宋"/>
                <w:sz w:val="24"/>
              </w:rPr>
              <w:t>9.项目评估、结业综合测试</w:t>
            </w:r>
          </w:p>
        </w:tc>
        <w:tc>
          <w:tcPr>
            <w:tcW w:w="1259"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w:t>
            </w:r>
            <w:r>
              <w:rPr>
                <w:rFonts w:ascii="仿宋" w:hAnsi="仿宋" w:eastAsia="仿宋" w:cs="仿宋"/>
                <w:sz w:val="24"/>
              </w:rPr>
              <w:t>.25</w:t>
            </w:r>
          </w:p>
        </w:tc>
        <w:tc>
          <w:tcPr>
            <w:tcW w:w="1221"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项目组</w:t>
            </w:r>
          </w:p>
        </w:tc>
        <w:tc>
          <w:tcPr>
            <w:tcW w:w="1212" w:type="dxa"/>
            <w:tcBorders>
              <w:tl2br w:val="nil"/>
              <w:tr2bl w:val="nil"/>
            </w:tcBorders>
            <w:vAlign w:val="center"/>
          </w:tcPr>
          <w:p>
            <w:pPr>
              <w:snapToGrid w:val="0"/>
              <w:spacing w:line="360" w:lineRule="exact"/>
              <w:ind w:firstLine="240" w:firstLineChars="100"/>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pacing w:line="360" w:lineRule="exact"/>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sz w:val="24"/>
              </w:rPr>
              <w:t>读书分享：读经典理论书籍的思考感悟</w:t>
            </w:r>
          </w:p>
        </w:tc>
        <w:tc>
          <w:tcPr>
            <w:tcW w:w="1259"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21"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参训学员</w:t>
            </w:r>
          </w:p>
        </w:tc>
        <w:tc>
          <w:tcPr>
            <w:tcW w:w="1212"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税收专业</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能力提升</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（4天）</w:t>
            </w: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学习贯彻二十届三中全会精神 深化财税体制改革</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w:t>
            </w:r>
            <w:r>
              <w:rPr>
                <w:rFonts w:ascii="仿宋" w:hAnsi="仿宋" w:eastAsia="仿宋" w:cs="仿宋"/>
                <w:sz w:val="24"/>
              </w:rPr>
              <w:t>.5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ind w:firstLine="241" w:firstLineChars="100"/>
              <w:jc w:val="center"/>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sz w:val="24"/>
              </w:rPr>
              <w:t>《税收</w:t>
            </w:r>
            <w:r>
              <w:rPr>
                <w:rFonts w:hint="eastAsia" w:ascii="仿宋" w:hAnsi="仿宋" w:eastAsia="仿宋" w:cs="仿宋"/>
                <w:sz w:val="24"/>
              </w:rPr>
              <w:t>征管法》修订情况介绍及相关内容学习</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w:t>
            </w:r>
            <w:r>
              <w:rPr>
                <w:rFonts w:ascii="仿宋" w:hAnsi="仿宋" w:eastAsia="仿宋" w:cs="仿宋"/>
                <w:sz w:val="24"/>
              </w:rPr>
              <w:t>.5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外聘教师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税收风险管理数字化转型</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w:t>
            </w:r>
            <w:r>
              <w:rPr>
                <w:rFonts w:ascii="仿宋" w:hAnsi="仿宋" w:eastAsia="仿宋" w:cs="仿宋"/>
                <w:sz w:val="24"/>
              </w:rPr>
              <w:t>.5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外聘教师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全税费种联动风险分析及应对训练</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实训式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5.“新业态”“新经济”“新模式”给税务工作带来的挑战及应对</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6.培训沙龙：学员“三个带来”问题回应</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外聘教师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答疑式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w:t>
            </w:r>
            <w:r>
              <w:rPr>
                <w:rFonts w:hint="eastAsia" w:ascii="仿宋" w:hAnsi="仿宋" w:eastAsia="仿宋" w:cs="仿宋"/>
                <w:sz w:val="24"/>
              </w:rPr>
              <w:t>分组研讨：打造效能税务，服务高质量发展；以党建为引领，促进党务业务融合发展。</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1</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1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38"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（2天）</w:t>
            </w:r>
          </w:p>
        </w:tc>
        <w:tc>
          <w:tcPr>
            <w:tcW w:w="4013"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1.报到、返程</w:t>
            </w:r>
          </w:p>
        </w:tc>
        <w:tc>
          <w:tcPr>
            <w:tcW w:w="1259"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22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212" w:type="dxa"/>
            <w:tcBorders>
              <w:tl2br w:val="nil"/>
              <w:tr2bl w:val="nil"/>
            </w:tcBorders>
            <w:vAlign w:val="center"/>
          </w:tcPr>
          <w:p>
            <w:pPr>
              <w:snapToGrid w:val="0"/>
              <w:spacing w:line="360" w:lineRule="exact"/>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451" w:type="dxa"/>
            <w:gridSpan w:val="2"/>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3692" w:type="dxa"/>
            <w:gridSpan w:val="3"/>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r>
    </w:tbl>
    <w:p/>
    <w:p>
      <w:pPr>
        <w:rPr>
          <w:rFonts w:hint="eastAsia" w:ascii="黑体" w:hAnsi="黑体" w:eastAsia="黑体" w:cs="Times New Roman"/>
          <w:sz w:val="32"/>
          <w:szCs w:val="32"/>
        </w:rPr>
      </w:pPr>
      <w:r>
        <w:rPr>
          <w:rFonts w:hint="eastAsia" w:ascii="黑体" w:hAnsi="黑体" w:eastAsia="黑体" w:cs="Times New Roman"/>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4DD645"/>
    <w:multiLevelType w:val="singleLevel"/>
    <w:tmpl w:val="BD4DD64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81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2025-01-06T08:23:07Z</dcterms:created>
  <dc:creator>Administrator</dc:creator>
  <cp:lastModifiedBy>Administrator</cp:lastModifiedBy>
  <dcterms:modified xsi:type="dcterms:W3CDTF">2025-01-06T08:23:29Z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