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3233"/>
        </w:tabs>
        <w:spacing w:line="360" w:lineRule="auto"/>
        <w:ind w:firstLine="320" w:firstLineChars="100"/>
        <w:jc w:val="center"/>
        <w:rPr>
          <w:rFonts w:hint="eastAsia" w:ascii="黑体" w:hAnsi="黑体" w:eastAsia="黑体" w:cs="Times New Roman"/>
          <w:sz w:val="32"/>
          <w:szCs w:val="32"/>
        </w:rPr>
      </w:pPr>
      <w:bookmarkStart w:id="0" w:name="_GoBack"/>
      <w:r>
        <w:rPr>
          <w:rFonts w:hint="eastAsia" w:ascii="黑体" w:hAnsi="黑体" w:eastAsia="黑体" w:cs="Times New Roman"/>
          <w:sz w:val="32"/>
          <w:szCs w:val="32"/>
        </w:rPr>
        <w:t>税务系统</w:t>
      </w:r>
      <w:r>
        <w:rPr>
          <w:rFonts w:ascii="黑体" w:hAnsi="黑体" w:eastAsia="黑体" w:cs="Times New Roman"/>
          <w:sz w:val="32"/>
          <w:szCs w:val="32"/>
        </w:rPr>
        <w:t>科级领导干部任职培训班</w:t>
      </w:r>
    </w:p>
    <w:bookmarkEnd w:id="0"/>
    <w:p>
      <w:pPr>
        <w:tabs>
          <w:tab w:val="left" w:pos="3233"/>
        </w:tabs>
        <w:spacing w:after="156" w:afterLines="50" w:line="360" w:lineRule="auto"/>
        <w:ind w:firstLine="320" w:firstLineChars="100"/>
        <w:jc w:val="center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项目</w:t>
      </w:r>
      <w:r>
        <w:rPr>
          <w:rFonts w:ascii="黑体" w:hAnsi="黑体" w:eastAsia="黑体" w:cs="Times New Roman"/>
          <w:sz w:val="32"/>
          <w:szCs w:val="32"/>
        </w:rPr>
        <w:t>计划书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根据国家税务总局</w:t>
      </w:r>
      <w:r>
        <w:rPr>
          <w:rFonts w:hint="eastAsia" w:ascii="仿宋" w:hAnsi="仿宋" w:eastAsia="仿宋" w:cs="仿宋"/>
          <w:sz w:val="28"/>
          <w:szCs w:val="28"/>
        </w:rPr>
        <w:t>《全国税务系统公务员任职培训实施办法》规定，以强化政治训练、提升履职能力为重点，科级领导干部任职培训采取混合培训方式展开，本项目计划为线下集中培训方案。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一、培训对象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税务系统科级领导干部，主要是各计划单列市、副省级市下辖区（市、县）税务局和各地级市税务局机关科室的正科级、副科级领导干部。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二、培训目标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</w:t>
      </w:r>
      <w:r>
        <w:rPr>
          <w:rFonts w:ascii="仿宋" w:hAnsi="仿宋" w:eastAsia="仿宋" w:cs="仿宋"/>
          <w:sz w:val="28"/>
          <w:szCs w:val="28"/>
        </w:rPr>
        <w:t>.</w:t>
      </w:r>
      <w:r>
        <w:rPr>
          <w:rFonts w:hint="eastAsia" w:ascii="仿宋" w:hAnsi="仿宋" w:eastAsia="仿宋" w:cs="仿宋"/>
          <w:sz w:val="28"/>
          <w:szCs w:val="28"/>
        </w:rPr>
        <w:t>深入学习习近平中国特色社会主义思想，提高政治“三力”，加强党性修养。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2.</w:t>
      </w:r>
      <w:r>
        <w:rPr>
          <w:rFonts w:hint="eastAsia" w:ascii="仿宋" w:hAnsi="仿宋" w:eastAsia="仿宋" w:cs="仿宋"/>
          <w:sz w:val="28"/>
          <w:szCs w:val="28"/>
        </w:rPr>
        <w:t>认识和把握领导规律，达到新任科级领导职务所需要的领导能力和管理水平，提高岗位胜任力。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3.</w:t>
      </w:r>
      <w:r>
        <w:rPr>
          <w:rFonts w:hint="eastAsia" w:ascii="仿宋" w:hAnsi="仿宋" w:eastAsia="仿宋" w:cs="仿宋"/>
          <w:sz w:val="28"/>
          <w:szCs w:val="28"/>
        </w:rPr>
        <w:t>学习财税体制改革和税收重点工作相关内容，掌握履行岗位职责必备的税收业务和法律知识,提高依法治税和精准执法水平。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三、培训时间</w:t>
      </w:r>
    </w:p>
    <w:p>
      <w:pPr>
        <w:adjustRightInd w:val="0"/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在校培训时间共10天，其中课程环节8天，非课程环节</w:t>
      </w:r>
      <w:r>
        <w:rPr>
          <w:rFonts w:ascii="仿宋" w:hAnsi="仿宋" w:eastAsia="仿宋" w:cs="仿宋"/>
          <w:sz w:val="28"/>
          <w:szCs w:val="28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天。</w:t>
      </w:r>
    </w:p>
    <w:p>
      <w:pPr>
        <w:adjustRightInd w:val="0"/>
        <w:snapToGrid w:val="0"/>
        <w:spacing w:line="360" w:lineRule="auto"/>
        <w:ind w:firstLine="562" w:firstLineChars="200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四、课程设置</w:t>
      </w:r>
    </w:p>
    <w:tbl>
      <w:tblPr>
        <w:tblStyle w:val="2"/>
        <w:tblW w:w="9272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8"/>
        <w:gridCol w:w="4190"/>
        <w:gridCol w:w="1276"/>
        <w:gridCol w:w="1196"/>
        <w:gridCol w:w="126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348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模 块</w:t>
            </w: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培训内容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课时（天）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拟聘师资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教学方法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党的理论与党性教育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（2天）</w:t>
            </w: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仿宋" w:hAnsi="仿宋" w:eastAsia="仿宋" w:cs="仿宋"/>
                <w:sz w:val="24"/>
              </w:rPr>
              <w:t>学习贯彻二十届三中全会精神 深化财税体制改革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2.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深刻把握习近平总书记关于党的自我革命的重要思想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</w:t>
            </w:r>
            <w:r>
              <w:rPr>
                <w:rFonts w:ascii="仿宋" w:hAnsi="仿宋" w:eastAsia="仿宋" w:cs="仿宋"/>
                <w:sz w:val="24"/>
              </w:rPr>
              <w:t>.</w:t>
            </w:r>
            <w:r>
              <w:rPr>
                <w:rFonts w:hint="eastAsia" w:ascii="仿宋" w:hAnsi="仿宋" w:eastAsia="仿宋" w:cs="仿宋"/>
                <w:sz w:val="24"/>
              </w:rPr>
              <w:t>主题党日活动</w:t>
            </w:r>
          </w:p>
        </w:tc>
        <w:tc>
          <w:tcPr>
            <w:tcW w:w="12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体验式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领导能力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提升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（3天）</w:t>
            </w: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1.科级干部的角色、责任与使命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做赋能型领导者 提高抓落实能力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案例式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新时代领导干部网络舆论引导能力提升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4.AI时代科级干部自我提升的学习路径及技术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互动式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领导干部的心理健康与情绪管理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0.25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领导者沟通协调能力训练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0.25</w:t>
            </w:r>
          </w:p>
        </w:tc>
        <w:tc>
          <w:tcPr>
            <w:tcW w:w="119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实训</w:t>
            </w:r>
            <w:r>
              <w:rPr>
                <w:rFonts w:ascii="仿宋" w:hAnsi="仿宋" w:eastAsia="仿宋" w:cs="仿宋"/>
                <w:sz w:val="24"/>
              </w:rPr>
              <w:t>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sz w:val="24"/>
              </w:rPr>
              <w:t>7.分组研讨：如何打造效能税务，服务高质量发展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参训学员</w:t>
            </w:r>
          </w:p>
        </w:tc>
        <w:tc>
          <w:tcPr>
            <w:tcW w:w="1262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研讨式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税收法治能力提升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（3天）</w:t>
            </w:r>
          </w:p>
        </w:tc>
        <w:tc>
          <w:tcPr>
            <w:tcW w:w="4190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sz w:val="24"/>
              </w:rPr>
              <w:t>1</w:t>
            </w:r>
            <w:r>
              <w:rPr>
                <w:rFonts w:ascii="仿宋" w:hAnsi="仿宋" w:eastAsia="仿宋" w:cs="仿宋"/>
                <w:sz w:val="24"/>
              </w:rPr>
              <w:t>.</w:t>
            </w:r>
            <w:r>
              <w:rPr>
                <w:rFonts w:hint="eastAsia" w:ascii="仿宋" w:hAnsi="仿宋" w:eastAsia="仿宋" w:cs="仿宋"/>
                <w:sz w:val="24"/>
              </w:rPr>
              <w:t>深入学习习近平法治思想 不断提升基层依法履职能力</w:t>
            </w:r>
          </w:p>
        </w:tc>
        <w:tc>
          <w:tcPr>
            <w:tcW w:w="1276" w:type="dxa"/>
            <w:vAlign w:val="center"/>
          </w:tcPr>
          <w:p>
            <w:pPr>
              <w:snapToGrid w:val="0"/>
              <w:spacing w:line="360" w:lineRule="exact"/>
              <w:ind w:firstLine="480" w:firstLineChars="20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讲授+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案例式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top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2.知底线守红线——《中国共产党纪律处分条例》和《公职人员政务处分法》的贯通学习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3.以案释法——税务系统执法人员的廉政风险与渎职风险防范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tcBorders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案例式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4.“智慧税务”下税收风险管理理念和实践创新</w:t>
            </w:r>
          </w:p>
        </w:tc>
        <w:tc>
          <w:tcPr>
            <w:tcW w:w="12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外聘教师</w:t>
            </w:r>
          </w:p>
        </w:tc>
        <w:tc>
          <w:tcPr>
            <w:tcW w:w="12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讲授式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5.</w:t>
            </w:r>
            <w:r>
              <w:rPr>
                <w:rFonts w:hint="eastAsia" w:ascii="仿宋" w:hAnsi="仿宋" w:eastAsia="仿宋" w:cs="仿宋"/>
                <w:sz w:val="24"/>
              </w:rPr>
              <w:t>全税费种联动风险分析及应对训练</w:t>
            </w:r>
          </w:p>
        </w:tc>
        <w:tc>
          <w:tcPr>
            <w:tcW w:w="12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0.5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校内教师</w:t>
            </w:r>
          </w:p>
        </w:tc>
        <w:tc>
          <w:tcPr>
            <w:tcW w:w="12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实训式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</w:p>
        </w:tc>
        <w:tc>
          <w:tcPr>
            <w:tcW w:w="419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6</w:t>
            </w:r>
            <w:r>
              <w:rPr>
                <w:rFonts w:ascii="仿宋" w:hAnsi="仿宋" w:eastAsia="仿宋" w:cs="仿宋"/>
                <w:sz w:val="24"/>
              </w:rPr>
              <w:t>.</w:t>
            </w:r>
            <w:r>
              <w:rPr>
                <w:rFonts w:hint="eastAsia" w:ascii="仿宋" w:hAnsi="仿宋" w:eastAsia="仿宋" w:cs="仿宋"/>
                <w:sz w:val="24"/>
              </w:rPr>
              <w:t>培训沙龙：学员“三个带来”问题回应</w:t>
            </w:r>
          </w:p>
        </w:tc>
        <w:tc>
          <w:tcPr>
            <w:tcW w:w="127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0</w:t>
            </w:r>
            <w:r>
              <w:rPr>
                <w:rFonts w:ascii="仿宋" w:hAnsi="仿宋" w:eastAsia="仿宋" w:cs="仿宋"/>
                <w:sz w:val="24"/>
              </w:rPr>
              <w:t>.5</w:t>
            </w:r>
          </w:p>
        </w:tc>
        <w:tc>
          <w:tcPr>
            <w:tcW w:w="11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外聘教师</w:t>
            </w:r>
          </w:p>
        </w:tc>
        <w:tc>
          <w:tcPr>
            <w:tcW w:w="12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答疑式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348" w:type="dxa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b/>
                <w:sz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</w:rPr>
              <w:t>非课程环节（</w:t>
            </w:r>
            <w:r>
              <w:rPr>
                <w:rFonts w:ascii="仿宋" w:hAnsi="仿宋" w:eastAsia="仿宋" w:cs="仿宋"/>
                <w:b/>
                <w:sz w:val="24"/>
              </w:rPr>
              <w:t>2</w:t>
            </w:r>
            <w:r>
              <w:rPr>
                <w:rFonts w:hint="eastAsia" w:ascii="仿宋" w:hAnsi="仿宋" w:eastAsia="仿宋" w:cs="仿宋"/>
                <w:b/>
                <w:sz w:val="24"/>
              </w:rPr>
              <w:t>天）</w:t>
            </w:r>
          </w:p>
        </w:tc>
        <w:tc>
          <w:tcPr>
            <w:tcW w:w="4190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1.报到、返程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</w:t>
            </w:r>
          </w:p>
        </w:tc>
        <w:tc>
          <w:tcPr>
            <w:tcW w:w="1196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1262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  <w:jc w:val="center"/>
        </w:trPr>
        <w:tc>
          <w:tcPr>
            <w:tcW w:w="5538" w:type="dxa"/>
            <w:gridSpan w:val="2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合计</w:t>
            </w:r>
          </w:p>
        </w:tc>
        <w:tc>
          <w:tcPr>
            <w:tcW w:w="3734" w:type="dxa"/>
            <w:gridSpan w:val="3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10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08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Office_11.3.0.8775_F1E327BC-269C-435d-A152-05C5408002CA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2025-01-06T08:23:41Z</dcterms:created>
  <dc:creator>Administrator</dc:creator>
  <cp:lastModifiedBy>Administrator</cp:lastModifiedBy>
  <dcterms:modified xsi:type="dcterms:W3CDTF">2025-01-06T08:24:03Z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2052-11.3.0.8775</vt:lpwstr>
  </property>
</Properties>
</file>