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hint="eastAsia" w:ascii="黑体" w:hAnsi="黑体" w:eastAsia="黑体"/>
          <w:bCs/>
          <w:sz w:val="32"/>
          <w:szCs w:val="32"/>
        </w:rPr>
      </w:pPr>
      <w:bookmarkStart w:id="0" w:name="_GoBack"/>
      <w:r>
        <w:rPr>
          <w:rFonts w:hint="eastAsia" w:ascii="黑体" w:hAnsi="黑体" w:eastAsia="黑体"/>
          <w:bCs/>
          <w:sz w:val="32"/>
          <w:szCs w:val="32"/>
        </w:rPr>
        <w:t>税务系统党组织书记暨党务工作者</w:t>
      </w:r>
    </w:p>
    <w:p>
      <w:pPr>
        <w:snapToGrid w:val="0"/>
        <w:spacing w:line="360" w:lineRule="auto"/>
        <w:jc w:val="center"/>
        <w:rPr>
          <w:rFonts w:hint="eastAsia" w:ascii="黑体" w:hAnsi="黑体" w:eastAsia="黑体"/>
          <w:bCs/>
          <w:sz w:val="32"/>
          <w:szCs w:val="32"/>
        </w:rPr>
      </w:pPr>
      <w:r>
        <w:rPr>
          <w:rFonts w:hint="eastAsia" w:ascii="黑体" w:hAnsi="黑体" w:eastAsia="黑体"/>
          <w:bCs/>
          <w:sz w:val="32"/>
          <w:szCs w:val="32"/>
        </w:rPr>
        <w:t>政治能力与履职能力提升培训班</w:t>
      </w:r>
      <w:bookmarkEnd w:id="0"/>
    </w:p>
    <w:p>
      <w:pPr>
        <w:snapToGrid w:val="0"/>
        <w:spacing w:after="156" w:afterLines="50" w:line="360" w:lineRule="auto"/>
        <w:jc w:val="center"/>
        <w:rPr>
          <w:rFonts w:hint="eastAsia" w:ascii="黑体" w:hAnsi="黑体" w:eastAsia="黑体"/>
          <w:bCs/>
          <w:sz w:val="32"/>
          <w:szCs w:val="32"/>
        </w:rPr>
      </w:pPr>
      <w:r>
        <w:rPr>
          <w:rFonts w:hint="eastAsia" w:ascii="黑体" w:hAnsi="黑体" w:eastAsia="黑体"/>
          <w:bCs/>
          <w:sz w:val="32"/>
          <w:szCs w:val="32"/>
        </w:rPr>
        <w:t>项目计划书</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为进一步深入贯彻党的二十大精神，推动税务机关党建工作强化政治统领，落实全面从严治党要求，压紧压实党建主体责任，深化党建与业务深度融合，锻造更加坚强有力的基层党组织，全面提升税务机关党建工作的科学化水平，策划本项目。</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一、培训对象</w:t>
      </w:r>
    </w:p>
    <w:p>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 xml:space="preserve">1.地市、县（区）局分管党务工作的局领导 </w:t>
      </w:r>
    </w:p>
    <w:p>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2.基层党组织书记、副书记</w:t>
      </w:r>
    </w:p>
    <w:p>
      <w:pPr>
        <w:adjustRightInd w:val="0"/>
        <w:snapToGrid w:val="0"/>
        <w:spacing w:line="360" w:lineRule="auto"/>
        <w:ind w:firstLine="560" w:firstLineChars="200"/>
        <w:rPr>
          <w:rFonts w:hint="eastAsia" w:ascii="仿宋" w:hAnsi="仿宋" w:eastAsia="仿宋" w:cs="仿宋"/>
          <w:sz w:val="28"/>
          <w:szCs w:val="28"/>
        </w:rPr>
      </w:pPr>
      <w:r>
        <w:rPr>
          <w:rFonts w:ascii="仿宋" w:hAnsi="仿宋" w:eastAsia="仿宋" w:cs="仿宋"/>
          <w:sz w:val="28"/>
          <w:szCs w:val="28"/>
        </w:rPr>
        <w:t>3.基层党务工作</w:t>
      </w:r>
      <w:r>
        <w:rPr>
          <w:rFonts w:hint="eastAsia" w:ascii="仿宋" w:hAnsi="仿宋" w:eastAsia="仿宋" w:cs="仿宋"/>
          <w:sz w:val="28"/>
          <w:szCs w:val="28"/>
        </w:rPr>
        <w:t>骨干</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二、培训目标</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本项目聚焦税务系统党组织书记与党务工作者政治能力和履职能力，以实现“理论素养、实践能力”双提升为目的，在理论素养、政治站位、实践能力上有所突破，促进税务系统党组织工作。</w:t>
      </w:r>
    </w:p>
    <w:p>
      <w:p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三、培训时间</w:t>
      </w:r>
    </w:p>
    <w:p>
      <w:pPr>
        <w:adjustRightInd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在校培训时间共8</w:t>
      </w:r>
      <w:r>
        <w:rPr>
          <w:rFonts w:ascii="仿宋" w:hAnsi="仿宋" w:eastAsia="仿宋" w:cs="仿宋"/>
          <w:sz w:val="28"/>
          <w:szCs w:val="28"/>
        </w:rPr>
        <w:t>天，其中</w:t>
      </w:r>
      <w:r>
        <w:rPr>
          <w:rFonts w:hint="eastAsia" w:ascii="仿宋" w:hAnsi="仿宋" w:eastAsia="仿宋" w:cs="仿宋"/>
          <w:sz w:val="28"/>
          <w:szCs w:val="28"/>
        </w:rPr>
        <w:t>课程环节6</w:t>
      </w:r>
      <w:r>
        <w:rPr>
          <w:rFonts w:ascii="仿宋" w:hAnsi="仿宋" w:eastAsia="仿宋" w:cs="仿宋"/>
          <w:sz w:val="28"/>
          <w:szCs w:val="28"/>
        </w:rPr>
        <w:t>天，</w:t>
      </w:r>
      <w:r>
        <w:rPr>
          <w:rFonts w:hint="eastAsia" w:ascii="仿宋" w:hAnsi="仿宋" w:eastAsia="仿宋" w:cs="仿宋"/>
          <w:sz w:val="28"/>
          <w:szCs w:val="28"/>
        </w:rPr>
        <w:t>非课程环节</w:t>
      </w:r>
      <w:r>
        <w:rPr>
          <w:rFonts w:ascii="仿宋" w:hAnsi="仿宋" w:eastAsia="仿宋" w:cs="仿宋"/>
          <w:sz w:val="28"/>
          <w:szCs w:val="28"/>
        </w:rPr>
        <w:t>2天</w:t>
      </w:r>
      <w:r>
        <w:rPr>
          <w:rFonts w:hint="eastAsia" w:ascii="仿宋" w:hAnsi="仿宋" w:eastAsia="仿宋" w:cs="仿宋"/>
          <w:sz w:val="28"/>
          <w:szCs w:val="28"/>
        </w:rPr>
        <w:t>。</w:t>
      </w:r>
    </w:p>
    <w:p>
      <w:pPr>
        <w:numPr>
          <w:ilvl w:val="0"/>
          <w:numId w:val="1"/>
        </w:numPr>
        <w:adjustRightInd w:val="0"/>
        <w:snapToGrid w:val="0"/>
        <w:spacing w:line="36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课程设置</w:t>
      </w:r>
    </w:p>
    <w:tbl>
      <w:tblPr>
        <w:tblStyle w:val="2"/>
        <w:tblW w:w="881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560"/>
        <w:gridCol w:w="1386"/>
        <w:gridCol w:w="1276"/>
        <w:gridCol w:w="131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12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模 块</w:t>
            </w:r>
          </w:p>
        </w:tc>
        <w:tc>
          <w:tcPr>
            <w:tcW w:w="3560"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培训内容</w:t>
            </w:r>
          </w:p>
        </w:tc>
        <w:tc>
          <w:tcPr>
            <w:tcW w:w="138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课时（天）</w:t>
            </w:r>
          </w:p>
        </w:tc>
        <w:tc>
          <w:tcPr>
            <w:tcW w:w="12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拟聘师资</w:t>
            </w:r>
          </w:p>
        </w:tc>
        <w:tc>
          <w:tcPr>
            <w:tcW w:w="1313"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教学方法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restart"/>
            <w:tcBorders>
              <w:tl2br w:val="nil"/>
              <w:tr2bl w:val="nil"/>
            </w:tcBorders>
            <w:vAlign w:val="center"/>
          </w:tcPr>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党的理论</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与</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党性教育</w:t>
            </w:r>
          </w:p>
          <w:p>
            <w:pPr>
              <w:snapToGrid w:val="0"/>
              <w:spacing w:line="360" w:lineRule="exact"/>
              <w:ind w:left="118" w:hanging="118" w:hangingChars="49"/>
              <w:jc w:val="center"/>
              <w:rPr>
                <w:rFonts w:hint="eastAsia" w:ascii="仿宋" w:hAnsi="仿宋" w:eastAsia="仿宋" w:cs="仿宋"/>
                <w:b/>
                <w:sz w:val="24"/>
              </w:rPr>
            </w:pPr>
            <w:r>
              <w:rPr>
                <w:rFonts w:hint="eastAsia" w:ascii="仿宋" w:hAnsi="仿宋" w:eastAsia="仿宋" w:cs="仿宋"/>
                <w:b/>
                <w:sz w:val="24"/>
              </w:rPr>
              <w:t>（</w:t>
            </w:r>
            <w:r>
              <w:rPr>
                <w:rFonts w:ascii="仿宋" w:hAnsi="仿宋" w:eastAsia="仿宋" w:cs="仿宋"/>
                <w:b/>
                <w:sz w:val="24"/>
              </w:rPr>
              <w:t>2</w:t>
            </w:r>
            <w:r>
              <w:rPr>
                <w:rFonts w:hint="eastAsia" w:ascii="仿宋" w:hAnsi="仿宋" w:eastAsia="仿宋" w:cs="仿宋"/>
                <w:b/>
                <w:sz w:val="24"/>
              </w:rPr>
              <w:t>天）</w:t>
            </w: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ascii="仿宋" w:hAnsi="仿宋" w:eastAsia="仿宋"/>
                <w:sz w:val="24"/>
              </w:rPr>
              <w:t>1.以习近平新时代中国特色社会主义思想为指引，深入学习贯彻二十届三中全会精神</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ascii="仿宋" w:hAnsi="仿宋" w:eastAsia="仿宋"/>
                <w:sz w:val="24"/>
              </w:rPr>
              <w:t>2.深刻领悟习近平总书记关于党的建设重要思想的重大意义</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vAlign w:val="center"/>
          </w:tcPr>
          <w:p>
            <w:pPr>
              <w:autoSpaceDE w:val="0"/>
              <w:snapToGrid w:val="0"/>
              <w:spacing w:line="360" w:lineRule="exact"/>
              <w:rPr>
                <w:rFonts w:hint="eastAsia" w:ascii="仿宋" w:hAnsi="仿宋" w:eastAsia="仿宋"/>
                <w:sz w:val="24"/>
              </w:rPr>
            </w:pPr>
            <w:r>
              <w:rPr>
                <w:rFonts w:hint="eastAsia" w:ascii="仿宋" w:hAnsi="仿宋" w:eastAsia="仿宋"/>
                <w:sz w:val="24"/>
              </w:rPr>
              <w:t>3</w:t>
            </w:r>
            <w:r>
              <w:rPr>
                <w:rFonts w:ascii="仿宋" w:hAnsi="仿宋" w:eastAsia="仿宋"/>
                <w:sz w:val="24"/>
              </w:rPr>
              <w:t>.主题党日</w:t>
            </w:r>
            <w:r>
              <w:rPr>
                <w:rFonts w:hint="eastAsia" w:ascii="仿宋" w:hAnsi="仿宋" w:eastAsia="仿宋"/>
                <w:sz w:val="24"/>
              </w:rPr>
              <w:t>活动</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体验式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hint="eastAsia" w:ascii="仿宋" w:hAnsi="仿宋" w:eastAsia="仿宋"/>
                <w:sz w:val="24"/>
              </w:rPr>
              <w:t>4</w:t>
            </w:r>
            <w:r>
              <w:rPr>
                <w:rFonts w:ascii="仿宋" w:hAnsi="仿宋" w:eastAsia="仿宋"/>
                <w:sz w:val="24"/>
              </w:rPr>
              <w:t>.坚定不移走中国人权发展道路 更好推动我国人权事业发展——学习领会习近平总书记在中央政治局第三十七次集体学习中的重要讲话精神</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学习兴税——标课</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自主学习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restart"/>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核心业务</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（4天）</w:t>
            </w: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ascii="仿宋" w:hAnsi="仿宋" w:eastAsia="仿宋"/>
                <w:sz w:val="24"/>
              </w:rPr>
              <w:t>1.坚持党的文化领导权 提升新时代意识形态工作能力</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ascii="仿宋" w:hAnsi="仿宋" w:eastAsia="仿宋"/>
                <w:sz w:val="24"/>
              </w:rPr>
              <w:t>2.新时代党支部书记的专业素质与能力要求</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外聘教师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ascii="仿宋" w:hAnsi="仿宋" w:eastAsia="仿宋"/>
                <w:sz w:val="24"/>
              </w:rPr>
              <w:t>3.党组织书记应知应会党内法规解读</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hint="eastAsia" w:ascii="仿宋" w:hAnsi="仿宋" w:eastAsia="仿宋"/>
                <w:sz w:val="24"/>
              </w:rPr>
              <w:t>4</w:t>
            </w:r>
            <w:r>
              <w:rPr>
                <w:rFonts w:ascii="仿宋" w:hAnsi="仿宋" w:eastAsia="仿宋"/>
                <w:sz w:val="24"/>
              </w:rPr>
              <w:t>.税务机关基层党支部组织生活情景模拟与党建品牌创建优化实训</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ascii="仿宋" w:hAnsi="仿宋" w:eastAsia="仿宋"/>
                <w:sz w:val="24"/>
              </w:rPr>
              <w:t>1</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实训式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hint="eastAsia" w:ascii="仿宋" w:hAnsi="仿宋" w:eastAsia="仿宋"/>
                <w:sz w:val="24"/>
              </w:rPr>
              <w:t>5.提升组织力 锻造坚强有为的基层党组织</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讲授式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hint="eastAsia" w:ascii="仿宋" w:hAnsi="仿宋" w:eastAsia="仿宋"/>
                <w:sz w:val="24"/>
              </w:rPr>
              <w:t>6.</w:t>
            </w:r>
            <w:r>
              <w:rPr>
                <w:rFonts w:ascii="仿宋" w:hAnsi="仿宋" w:eastAsia="仿宋"/>
                <w:sz w:val="24"/>
              </w:rPr>
              <w:t>研讨交流：</w:t>
            </w:r>
            <w:r>
              <w:rPr>
                <w:rFonts w:hint="eastAsia" w:ascii="仿宋" w:hAnsi="仿宋" w:eastAsia="仿宋"/>
                <w:sz w:val="24"/>
              </w:rPr>
              <w:t>（</w:t>
            </w:r>
            <w:r>
              <w:rPr>
                <w:rFonts w:ascii="仿宋" w:hAnsi="仿宋" w:eastAsia="仿宋"/>
                <w:sz w:val="24"/>
              </w:rPr>
              <w:t>1）如何坚持以政治建设为统领，将政治建设融入日常、做在经常；</w:t>
            </w:r>
            <w:r>
              <w:rPr>
                <w:rFonts w:hint="eastAsia" w:ascii="仿宋" w:hAnsi="仿宋" w:eastAsia="仿宋"/>
                <w:sz w:val="24"/>
              </w:rPr>
              <w:t>（</w:t>
            </w:r>
            <w:r>
              <w:rPr>
                <w:rFonts w:ascii="仿宋" w:hAnsi="仿宋" w:eastAsia="仿宋"/>
                <w:sz w:val="24"/>
              </w:rPr>
              <w:t>2）推动党建与业务深度融合的做法、经验与不足；</w:t>
            </w:r>
            <w:r>
              <w:rPr>
                <w:rFonts w:hint="eastAsia" w:ascii="仿宋" w:hAnsi="仿宋" w:eastAsia="仿宋"/>
                <w:sz w:val="24"/>
              </w:rPr>
              <w:t>（</w:t>
            </w:r>
            <w:r>
              <w:rPr>
                <w:rFonts w:ascii="仿宋" w:hAnsi="仿宋" w:eastAsia="仿宋"/>
                <w:sz w:val="24"/>
              </w:rPr>
              <w:t>3）在发挥党建引领赋能税务机关文化建设方面的创新与实践。</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校内教师</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jc w:val="center"/>
        </w:trPr>
        <w:tc>
          <w:tcPr>
            <w:tcW w:w="1276" w:type="dxa"/>
            <w:vMerge w:val="continue"/>
            <w:tcBorders>
              <w:tl2br w:val="nil"/>
              <w:tr2bl w:val="nil"/>
            </w:tcBorders>
            <w:vAlign w:val="center"/>
          </w:tcPr>
          <w:p>
            <w:pPr>
              <w:snapToGrid w:val="0"/>
              <w:spacing w:line="360" w:lineRule="exact"/>
              <w:jc w:val="center"/>
              <w:rPr>
                <w:rFonts w:hint="eastAsia" w:ascii="仿宋" w:hAnsi="仿宋" w:eastAsia="仿宋" w:cs="仿宋"/>
                <w:b/>
                <w:sz w:val="24"/>
              </w:rPr>
            </w:pPr>
          </w:p>
        </w:tc>
        <w:tc>
          <w:tcPr>
            <w:tcW w:w="3560" w:type="dxa"/>
            <w:tcBorders>
              <w:tl2br w:val="nil"/>
              <w:tr2bl w:val="nil"/>
            </w:tcBorders>
          </w:tcPr>
          <w:p>
            <w:pPr>
              <w:autoSpaceDE w:val="0"/>
              <w:snapToGrid w:val="0"/>
              <w:spacing w:line="360" w:lineRule="exact"/>
              <w:rPr>
                <w:rFonts w:hint="eastAsia" w:ascii="仿宋" w:hAnsi="仿宋" w:eastAsia="仿宋"/>
                <w:sz w:val="24"/>
              </w:rPr>
            </w:pPr>
            <w:r>
              <w:rPr>
                <w:rFonts w:hint="eastAsia" w:ascii="仿宋" w:hAnsi="仿宋" w:eastAsia="仿宋"/>
                <w:sz w:val="24"/>
              </w:rPr>
              <w:t>7.学员论坛：基层党建工作经验分享</w:t>
            </w:r>
          </w:p>
        </w:tc>
        <w:tc>
          <w:tcPr>
            <w:tcW w:w="138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0.5</w:t>
            </w:r>
          </w:p>
        </w:tc>
        <w:tc>
          <w:tcPr>
            <w:tcW w:w="1276"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学员代表</w:t>
            </w:r>
          </w:p>
        </w:tc>
        <w:tc>
          <w:tcPr>
            <w:tcW w:w="1313" w:type="dxa"/>
            <w:tcBorders>
              <w:tl2br w:val="nil"/>
              <w:tr2bl w:val="nil"/>
            </w:tcBorders>
            <w:vAlign w:val="center"/>
          </w:tcPr>
          <w:p>
            <w:pPr>
              <w:autoSpaceDE w:val="0"/>
              <w:snapToGrid w:val="0"/>
              <w:spacing w:line="360" w:lineRule="exact"/>
              <w:jc w:val="center"/>
              <w:rPr>
                <w:rFonts w:hint="eastAsia" w:ascii="仿宋" w:hAnsi="仿宋" w:eastAsia="仿宋"/>
                <w:sz w:val="24"/>
              </w:rPr>
            </w:pPr>
            <w:r>
              <w:rPr>
                <w:rFonts w:hint="eastAsia" w:ascii="仿宋" w:hAnsi="仿宋" w:eastAsia="仿宋"/>
                <w:sz w:val="24"/>
              </w:rPr>
              <w:t>研讨式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60" w:hRule="atLeast"/>
          <w:jc w:val="center"/>
        </w:trPr>
        <w:tc>
          <w:tcPr>
            <w:tcW w:w="1276" w:type="dxa"/>
            <w:tcBorders>
              <w:tl2br w:val="nil"/>
              <w:tr2bl w:val="nil"/>
            </w:tcBorders>
            <w:vAlign w:val="center"/>
          </w:tcPr>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非课程</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环节</w:t>
            </w:r>
          </w:p>
          <w:p>
            <w:pPr>
              <w:snapToGrid w:val="0"/>
              <w:spacing w:line="360" w:lineRule="exact"/>
              <w:jc w:val="center"/>
              <w:rPr>
                <w:rFonts w:hint="eastAsia" w:ascii="仿宋" w:hAnsi="仿宋" w:eastAsia="仿宋" w:cs="仿宋"/>
                <w:b/>
                <w:sz w:val="24"/>
              </w:rPr>
            </w:pPr>
            <w:r>
              <w:rPr>
                <w:rFonts w:hint="eastAsia" w:ascii="仿宋" w:hAnsi="仿宋" w:eastAsia="仿宋" w:cs="仿宋"/>
                <w:b/>
                <w:sz w:val="24"/>
              </w:rPr>
              <w:t>（2天）</w:t>
            </w:r>
          </w:p>
        </w:tc>
        <w:tc>
          <w:tcPr>
            <w:tcW w:w="3560" w:type="dxa"/>
            <w:tcBorders>
              <w:tl2br w:val="nil"/>
              <w:tr2bl w:val="nil"/>
            </w:tcBorders>
            <w:vAlign w:val="center"/>
          </w:tcPr>
          <w:p>
            <w:pPr>
              <w:snapToGrid w:val="0"/>
              <w:spacing w:line="360" w:lineRule="exact"/>
              <w:rPr>
                <w:rFonts w:hint="eastAsia" w:ascii="仿宋" w:hAnsi="仿宋" w:eastAsia="仿宋" w:cs="仿宋"/>
                <w:sz w:val="24"/>
              </w:rPr>
            </w:pPr>
            <w:r>
              <w:rPr>
                <w:rFonts w:hint="eastAsia" w:ascii="仿宋" w:hAnsi="仿宋" w:eastAsia="仿宋" w:cs="仿宋"/>
                <w:sz w:val="24"/>
              </w:rPr>
              <w:t>1.报到、返程</w:t>
            </w:r>
          </w:p>
        </w:tc>
        <w:tc>
          <w:tcPr>
            <w:tcW w:w="1386" w:type="dxa"/>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2</w:t>
            </w:r>
          </w:p>
        </w:tc>
        <w:tc>
          <w:tcPr>
            <w:tcW w:w="1276" w:type="dxa"/>
            <w:tcBorders>
              <w:tl2br w:val="nil"/>
              <w:tr2bl w:val="nil"/>
            </w:tcBorders>
            <w:vAlign w:val="center"/>
          </w:tcPr>
          <w:p>
            <w:pPr>
              <w:spacing w:line="360" w:lineRule="exact"/>
              <w:jc w:val="center"/>
              <w:rPr>
                <w:rFonts w:hint="eastAsia" w:ascii="仿宋" w:hAnsi="仿宋" w:eastAsia="仿宋" w:cs="仿宋"/>
                <w:sz w:val="24"/>
              </w:rPr>
            </w:pPr>
            <w:r>
              <w:rPr>
                <w:rFonts w:hint="eastAsia" w:ascii="仿宋" w:hAnsi="仿宋" w:eastAsia="仿宋" w:cs="仿宋"/>
                <w:sz w:val="24"/>
              </w:rPr>
              <w:t>总务处</w:t>
            </w:r>
          </w:p>
        </w:tc>
        <w:tc>
          <w:tcPr>
            <w:tcW w:w="1313" w:type="dxa"/>
            <w:tcBorders>
              <w:tl2br w:val="nil"/>
              <w:tr2bl w:val="nil"/>
            </w:tcBorders>
            <w:vAlign w:val="center"/>
          </w:tcPr>
          <w:p>
            <w:pPr>
              <w:spacing w:line="360" w:lineRule="exact"/>
              <w:jc w:val="center"/>
              <w:rPr>
                <w:rFonts w:hint="eastAsia" w:ascii="仿宋" w:hAnsi="仿宋" w:eastAsia="仿宋" w:cs="仿宋"/>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3" w:hRule="atLeast"/>
          <w:jc w:val="center"/>
        </w:trPr>
        <w:tc>
          <w:tcPr>
            <w:tcW w:w="4836" w:type="dxa"/>
            <w:gridSpan w:val="2"/>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合计</w:t>
            </w:r>
          </w:p>
        </w:tc>
        <w:tc>
          <w:tcPr>
            <w:tcW w:w="3975" w:type="dxa"/>
            <w:gridSpan w:val="3"/>
            <w:tcBorders>
              <w:tl2br w:val="nil"/>
              <w:tr2bl w:val="nil"/>
            </w:tcBorders>
            <w:vAlign w:val="center"/>
          </w:tcPr>
          <w:p>
            <w:pPr>
              <w:snapToGrid w:val="0"/>
              <w:spacing w:line="360" w:lineRule="exact"/>
              <w:jc w:val="center"/>
              <w:rPr>
                <w:rFonts w:hint="eastAsia" w:ascii="仿宋" w:hAnsi="仿宋" w:eastAsia="仿宋" w:cs="仿宋"/>
                <w:sz w:val="24"/>
              </w:rPr>
            </w:pPr>
            <w:r>
              <w:rPr>
                <w:rFonts w:hint="eastAsia" w:ascii="仿宋" w:hAnsi="仿宋" w:eastAsia="仿宋" w:cs="仿宋"/>
                <w:sz w:val="24"/>
              </w:rPr>
              <w:t>8</w:t>
            </w:r>
          </w:p>
        </w:tc>
      </w:tr>
    </w:tbl>
    <w:p>
      <w:pPr>
        <w:spacing w:line="440" w:lineRule="exact"/>
        <w:ind w:firstLine="420" w:firstLineChars="200"/>
        <w:rPr>
          <w:rFonts w:ascii="仿宋_GB2312" w:hAnsi="Times New Roman" w:eastAsia="仿宋_GB231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DED6C82"/>
    <w:multiLevelType w:val="singleLevel"/>
    <w:tmpl w:val="FDED6C8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454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2025-01-06T08:19:33Z</dcterms:created>
  <dc:creator>Administrator</dc:creator>
  <cp:lastModifiedBy>Administrator</cp:lastModifiedBy>
  <dcterms:modified xsi:type="dcterms:W3CDTF">2025-01-06T08:19:49Z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