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33"/>
        </w:tabs>
        <w:jc w:val="center"/>
        <w:rPr>
          <w:rFonts w:ascii="黑体" w:hAnsi="黑体" w:eastAsia="黑体"/>
          <w:sz w:val="32"/>
          <w:szCs w:val="32"/>
        </w:rPr>
      </w:pPr>
      <w:r>
        <w:rPr>
          <w:rFonts w:hint="eastAsia" w:ascii="黑体" w:hAnsi="黑体" w:eastAsia="黑体"/>
          <w:sz w:val="32"/>
          <w:szCs w:val="32"/>
        </w:rPr>
        <w:t>优化税收营商环境专题研讨班</w:t>
      </w:r>
    </w:p>
    <w:p>
      <w:pPr>
        <w:tabs>
          <w:tab w:val="left" w:pos="3233"/>
        </w:tabs>
        <w:jc w:val="center"/>
        <w:rPr>
          <w:rFonts w:ascii="黑体" w:hAnsi="黑体" w:eastAsia="黑体"/>
          <w:sz w:val="32"/>
          <w:szCs w:val="32"/>
        </w:rPr>
      </w:pPr>
      <w:r>
        <w:rPr>
          <w:rFonts w:ascii="黑体" w:hAnsi="黑体" w:eastAsia="黑体"/>
          <w:sz w:val="32"/>
          <w:szCs w:val="32"/>
        </w:rPr>
        <w:t>项目计划书</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十四五”时期是我国税收营商环境建设的加速期，国家税务总局要求各级税务部门切实提升政治站位，主动融入党和国家事业发展大局，进一步深化税务系统“放管服”改革，不断优化税收营商环境，服务国家治理</w:t>
      </w:r>
      <w:r>
        <w:rPr>
          <w:rFonts w:ascii="仿宋" w:hAnsi="仿宋" w:eastAsia="仿宋" w:cs="仿宋"/>
          <w:sz w:val="28"/>
          <w:szCs w:val="28"/>
        </w:rPr>
        <w:t>。</w:t>
      </w:r>
      <w:r>
        <w:rPr>
          <w:rFonts w:hint="eastAsia" w:ascii="仿宋" w:hAnsi="仿宋" w:eastAsia="仿宋" w:cs="仿宋"/>
          <w:sz w:val="28"/>
          <w:szCs w:val="28"/>
        </w:rPr>
        <w:t>为更好落实中办国办《关于进一步深化税收征管改革的意见》要求，助力税务干部树立服务意识，增强服务本领，策划本期培训班。</w:t>
      </w:r>
    </w:p>
    <w:p>
      <w:pPr>
        <w:adjustRightInd w:val="0"/>
        <w:snapToGrid w:val="0"/>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一、培训对象</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税务系统负责营商环境建设的处（科）级领导干部、纳税服务岗位人员</w:t>
      </w:r>
    </w:p>
    <w:p>
      <w:pPr>
        <w:adjustRightInd w:val="0"/>
        <w:snapToGrid w:val="0"/>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二、培训目标</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通过培训，使学员了解各国税收营商环境开展情况以及世界银行营商环境评价体系，对我国优化税收营商环境经验做法有进一步的理解和认识；结合营商环境评价中“纳税”指标，共同探讨进一步优化税收营商环境的可行方案，增强全局意识和服务意识，为改善税收营商环境贡献智慧和力量。</w:t>
      </w:r>
    </w:p>
    <w:p>
      <w:pPr>
        <w:adjustRightInd w:val="0"/>
        <w:snapToGrid w:val="0"/>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三、培训时间</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培训时间共10天，其中课程环节7天，非课程环节3天。</w:t>
      </w:r>
    </w:p>
    <w:p>
      <w:pPr>
        <w:adjustRightInd w:val="0"/>
        <w:snapToGrid w:val="0"/>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四、课程设置</w:t>
      </w:r>
    </w:p>
    <w:tbl>
      <w:tblPr>
        <w:tblStyle w:val="2"/>
        <w:tblW w:w="814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90"/>
        <w:gridCol w:w="3615"/>
        <w:gridCol w:w="1276"/>
        <w:gridCol w:w="1455"/>
        <w:gridCol w:w="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790" w:type="dxa"/>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模 块</w:t>
            </w:r>
          </w:p>
        </w:tc>
        <w:tc>
          <w:tcPr>
            <w:tcW w:w="3615" w:type="dxa"/>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培训内容</w:t>
            </w:r>
          </w:p>
        </w:tc>
        <w:tc>
          <w:tcPr>
            <w:tcW w:w="1276" w:type="dxa"/>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课时（天）</w:t>
            </w:r>
          </w:p>
        </w:tc>
        <w:tc>
          <w:tcPr>
            <w:tcW w:w="1463" w:type="dxa"/>
            <w:gridSpan w:val="2"/>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教学方法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7" w:hRule="atLeast"/>
          <w:jc w:val="center"/>
        </w:trPr>
        <w:tc>
          <w:tcPr>
            <w:tcW w:w="1790" w:type="dxa"/>
            <w:vMerge w:val="restart"/>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党的理论</w:t>
            </w:r>
          </w:p>
          <w:p>
            <w:pPr>
              <w:snapToGrid w:val="0"/>
              <w:spacing w:line="380" w:lineRule="exact"/>
              <w:jc w:val="center"/>
              <w:rPr>
                <w:rFonts w:ascii="仿宋" w:hAnsi="仿宋" w:eastAsia="仿宋" w:cs="仿宋"/>
                <w:b/>
                <w:szCs w:val="21"/>
              </w:rPr>
            </w:pPr>
            <w:r>
              <w:rPr>
                <w:rFonts w:hint="eastAsia" w:ascii="仿宋" w:hAnsi="仿宋" w:eastAsia="仿宋" w:cs="仿宋"/>
                <w:b/>
                <w:szCs w:val="21"/>
              </w:rPr>
              <w:t>与党性教育</w:t>
            </w:r>
          </w:p>
          <w:p>
            <w:pPr>
              <w:snapToGrid w:val="0"/>
              <w:spacing w:line="380" w:lineRule="exact"/>
              <w:jc w:val="center"/>
              <w:rPr>
                <w:rFonts w:ascii="仿宋" w:hAnsi="仿宋" w:eastAsia="仿宋" w:cs="仿宋"/>
                <w:b/>
                <w:szCs w:val="21"/>
              </w:rPr>
            </w:pPr>
            <w:r>
              <w:rPr>
                <w:rFonts w:hint="eastAsia" w:ascii="仿宋" w:hAnsi="仿宋" w:eastAsia="仿宋" w:cs="仿宋"/>
                <w:b/>
                <w:szCs w:val="21"/>
              </w:rPr>
              <w:t>模块</w:t>
            </w:r>
          </w:p>
          <w:p>
            <w:pPr>
              <w:snapToGrid w:val="0"/>
              <w:spacing w:line="380" w:lineRule="exact"/>
              <w:jc w:val="center"/>
              <w:rPr>
                <w:rFonts w:ascii="仿宋" w:hAnsi="仿宋" w:eastAsia="仿宋" w:cs="仿宋"/>
                <w:b/>
                <w:szCs w:val="21"/>
              </w:rPr>
            </w:pPr>
            <w:r>
              <w:rPr>
                <w:rFonts w:hint="eastAsia" w:ascii="仿宋" w:hAnsi="仿宋" w:eastAsia="仿宋" w:cs="仿宋"/>
                <w:b/>
                <w:szCs w:val="21"/>
              </w:rPr>
              <w:t>（1.5天）</w:t>
            </w:r>
          </w:p>
        </w:tc>
        <w:tc>
          <w:tcPr>
            <w:tcW w:w="3615"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1.学习习近平经济思想，确保经济发展稳中求进</w:t>
            </w:r>
          </w:p>
        </w:tc>
        <w:tc>
          <w:tcPr>
            <w:tcW w:w="1276"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463" w:type="dxa"/>
            <w:gridSpan w:val="2"/>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4"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615" w:type="dxa"/>
            <w:noWrap w:val="0"/>
            <w:vAlign w:val="center"/>
          </w:tcPr>
          <w:p>
            <w:pPr>
              <w:snapToGrid w:val="0"/>
              <w:spacing w:line="380" w:lineRule="exact"/>
              <w:rPr>
                <w:rFonts w:hint="eastAsia" w:ascii="仿宋" w:hAnsi="仿宋" w:eastAsia="仿宋" w:cs="仿宋"/>
                <w:szCs w:val="21"/>
              </w:rPr>
            </w:pPr>
            <w:r>
              <w:rPr>
                <w:rFonts w:hint="eastAsia" w:ascii="仿宋" w:hAnsi="仿宋" w:eastAsia="仿宋" w:cs="仿宋"/>
                <w:szCs w:val="21"/>
              </w:rPr>
              <w:t>2.主题党日：“重温历史守初心 牢记使命践誓言”—（大连旅顺爱国主义教育基地）</w:t>
            </w:r>
          </w:p>
        </w:tc>
        <w:tc>
          <w:tcPr>
            <w:tcW w:w="1276" w:type="dxa"/>
            <w:noWrap w:val="0"/>
            <w:vAlign w:val="center"/>
          </w:tcPr>
          <w:p>
            <w:pPr>
              <w:snapToGrid w:val="0"/>
              <w:spacing w:line="380" w:lineRule="exact"/>
              <w:jc w:val="center"/>
              <w:rPr>
                <w:rFonts w:hint="eastAsia" w:ascii="仿宋" w:hAnsi="仿宋" w:eastAsia="仿宋" w:cs="仿宋"/>
                <w:szCs w:val="21"/>
              </w:rPr>
            </w:pPr>
            <w:r>
              <w:rPr>
                <w:rFonts w:hint="eastAsia" w:ascii="仿宋" w:hAnsi="仿宋" w:eastAsia="仿宋" w:cs="仿宋"/>
                <w:szCs w:val="21"/>
              </w:rPr>
              <w:t>0.5</w:t>
            </w:r>
          </w:p>
        </w:tc>
        <w:tc>
          <w:tcPr>
            <w:tcW w:w="1463" w:type="dxa"/>
            <w:gridSpan w:val="2"/>
            <w:noWrap w:val="0"/>
            <w:vAlign w:val="center"/>
          </w:tcPr>
          <w:p>
            <w:pPr>
              <w:snapToGrid w:val="0"/>
              <w:spacing w:line="380" w:lineRule="exact"/>
              <w:jc w:val="center"/>
              <w:rPr>
                <w:rFonts w:hint="eastAsia" w:ascii="仿宋" w:hAnsi="仿宋" w:eastAsia="仿宋" w:cs="仿宋"/>
                <w:szCs w:val="21"/>
              </w:rPr>
            </w:pPr>
            <w:r>
              <w:rPr>
                <w:rFonts w:hint="eastAsia" w:ascii="仿宋" w:hAnsi="仿宋" w:eastAsia="仿宋" w:cs="仿宋"/>
                <w:szCs w:val="21"/>
              </w:rPr>
              <w:t>体验式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7"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615"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3.现场教学：党建创新促发展 共筑营商新环境——高新园区税务局“税政企银学”党建创新联盟创新落实“纵合横通强党建”机制制度体系——高新区嘉创大厦芝倪集团众创空间参观</w:t>
            </w:r>
          </w:p>
        </w:tc>
        <w:tc>
          <w:tcPr>
            <w:tcW w:w="1276"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463" w:type="dxa"/>
            <w:gridSpan w:val="2"/>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体验式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 w:hRule="atLeast"/>
          <w:jc w:val="center"/>
        </w:trPr>
        <w:tc>
          <w:tcPr>
            <w:tcW w:w="1790" w:type="dxa"/>
            <w:vMerge w:val="restart"/>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核心业务</w:t>
            </w:r>
          </w:p>
          <w:p>
            <w:pPr>
              <w:snapToGrid w:val="0"/>
              <w:spacing w:line="380" w:lineRule="exact"/>
              <w:jc w:val="center"/>
              <w:rPr>
                <w:rFonts w:ascii="仿宋" w:hAnsi="仿宋" w:eastAsia="仿宋" w:cs="仿宋"/>
                <w:b/>
                <w:szCs w:val="21"/>
              </w:rPr>
            </w:pPr>
            <w:r>
              <w:rPr>
                <w:rFonts w:hint="eastAsia" w:ascii="仿宋" w:hAnsi="仿宋" w:eastAsia="仿宋" w:cs="仿宋"/>
                <w:b/>
                <w:szCs w:val="21"/>
              </w:rPr>
              <w:t>模块</w:t>
            </w:r>
          </w:p>
          <w:p>
            <w:pPr>
              <w:snapToGrid w:val="0"/>
              <w:spacing w:line="380" w:lineRule="exact"/>
              <w:jc w:val="center"/>
              <w:rPr>
                <w:rFonts w:ascii="仿宋" w:hAnsi="仿宋" w:eastAsia="仿宋" w:cs="仿宋"/>
                <w:b/>
                <w:szCs w:val="21"/>
              </w:rPr>
            </w:pPr>
            <w:r>
              <w:rPr>
                <w:rFonts w:hint="eastAsia" w:ascii="仿宋" w:hAnsi="仿宋" w:eastAsia="仿宋" w:cs="仿宋"/>
                <w:b/>
                <w:szCs w:val="21"/>
              </w:rPr>
              <w:t>（5.5天）</w:t>
            </w:r>
          </w:p>
        </w:tc>
        <w:tc>
          <w:tcPr>
            <w:tcW w:w="3615" w:type="dxa"/>
            <w:noWrap w:val="0"/>
            <w:vAlign w:val="center"/>
          </w:tcPr>
          <w:p>
            <w:pPr>
              <w:snapToGrid w:val="0"/>
              <w:spacing w:line="360" w:lineRule="exact"/>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w:t>
            </w:r>
            <w:r>
              <w:rPr>
                <w:rFonts w:hint="eastAsia" w:ascii="仿宋" w:hAnsi="仿宋" w:eastAsia="仿宋" w:cs="仿宋"/>
                <w:szCs w:val="21"/>
              </w:rPr>
              <w:t xml:space="preserve">国外优化税收营商环境经验借鉴 </w:t>
            </w:r>
          </w:p>
        </w:tc>
        <w:tc>
          <w:tcPr>
            <w:tcW w:w="1276" w:type="dxa"/>
            <w:noWrap w:val="0"/>
            <w:vAlign w:val="center"/>
          </w:tcPr>
          <w:p>
            <w:pPr>
              <w:snapToGrid w:val="0"/>
              <w:spacing w:line="360" w:lineRule="exact"/>
              <w:jc w:val="center"/>
              <w:rPr>
                <w:rFonts w:ascii="仿宋" w:hAnsi="仿宋" w:eastAsia="仿宋" w:cs="仿宋"/>
                <w:szCs w:val="21"/>
              </w:rPr>
            </w:pPr>
            <w:r>
              <w:rPr>
                <w:rFonts w:hint="eastAsia" w:ascii="仿宋" w:hAnsi="仿宋" w:eastAsia="仿宋" w:cs="仿宋"/>
                <w:szCs w:val="21"/>
              </w:rPr>
              <w:t>0</w:t>
            </w:r>
            <w:r>
              <w:rPr>
                <w:rFonts w:ascii="仿宋" w:hAnsi="仿宋" w:eastAsia="仿宋" w:cs="仿宋"/>
                <w:szCs w:val="21"/>
              </w:rPr>
              <w:t xml:space="preserve">.5 </w:t>
            </w:r>
          </w:p>
        </w:tc>
        <w:tc>
          <w:tcPr>
            <w:tcW w:w="1463" w:type="dxa"/>
            <w:gridSpan w:val="2"/>
            <w:noWrap w:val="0"/>
            <w:vAlign w:val="center"/>
          </w:tcPr>
          <w:p>
            <w:pPr>
              <w:snapToGrid w:val="0"/>
              <w:spacing w:line="360" w:lineRule="exact"/>
              <w:jc w:val="center"/>
              <w:rPr>
                <w:rFonts w:ascii="仿宋" w:hAnsi="仿宋" w:eastAsia="仿宋" w:cs="仿宋"/>
                <w:szCs w:val="21"/>
              </w:rPr>
            </w:pPr>
            <w:r>
              <w:rPr>
                <w:rFonts w:hint="eastAsia" w:ascii="仿宋" w:hAnsi="仿宋" w:eastAsia="仿宋" w:cs="仿宋"/>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615" w:type="dxa"/>
            <w:noWrap w:val="0"/>
            <w:vAlign w:val="center"/>
          </w:tcPr>
          <w:p>
            <w:pPr>
              <w:snapToGrid w:val="0"/>
              <w:spacing w:line="360" w:lineRule="exact"/>
              <w:rPr>
                <w:rFonts w:ascii="仿宋" w:hAnsi="仿宋" w:eastAsia="仿宋" w:cs="仿宋"/>
                <w:szCs w:val="21"/>
              </w:rPr>
            </w:pPr>
            <w:r>
              <w:rPr>
                <w:rFonts w:hint="eastAsia" w:ascii="仿宋" w:hAnsi="仿宋" w:eastAsia="仿宋" w:cs="仿宋"/>
                <w:szCs w:val="21"/>
              </w:rPr>
              <w:t>2.世界银行新一轮营商环境评估体系</w:t>
            </w:r>
          </w:p>
        </w:tc>
        <w:tc>
          <w:tcPr>
            <w:tcW w:w="1276" w:type="dxa"/>
            <w:noWrap w:val="0"/>
            <w:vAlign w:val="center"/>
          </w:tcPr>
          <w:p>
            <w:pPr>
              <w:snapToGrid w:val="0"/>
              <w:spacing w:line="360" w:lineRule="exact"/>
              <w:jc w:val="center"/>
              <w:rPr>
                <w:rFonts w:ascii="仿宋" w:hAnsi="仿宋" w:eastAsia="仿宋" w:cs="仿宋"/>
                <w:szCs w:val="21"/>
              </w:rPr>
            </w:pPr>
            <w:r>
              <w:rPr>
                <w:rFonts w:ascii="仿宋" w:hAnsi="仿宋" w:eastAsia="仿宋" w:cs="仿宋"/>
                <w:szCs w:val="21"/>
              </w:rPr>
              <w:t>0.5</w:t>
            </w:r>
          </w:p>
        </w:tc>
        <w:tc>
          <w:tcPr>
            <w:tcW w:w="1463" w:type="dxa"/>
            <w:gridSpan w:val="2"/>
            <w:noWrap w:val="0"/>
            <w:vAlign w:val="center"/>
          </w:tcPr>
          <w:p>
            <w:pPr>
              <w:snapToGrid w:val="0"/>
              <w:spacing w:line="360" w:lineRule="exact"/>
              <w:jc w:val="center"/>
              <w:rPr>
                <w:rFonts w:ascii="仿宋" w:hAnsi="仿宋" w:eastAsia="仿宋" w:cs="仿宋"/>
                <w:szCs w:val="21"/>
              </w:rPr>
            </w:pPr>
            <w:r>
              <w:rPr>
                <w:rFonts w:hint="eastAsia" w:ascii="仿宋" w:hAnsi="仿宋" w:eastAsia="仿宋" w:cs="仿宋"/>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615" w:type="dxa"/>
            <w:noWrap w:val="0"/>
            <w:vAlign w:val="center"/>
          </w:tcPr>
          <w:p>
            <w:pPr>
              <w:snapToGrid w:val="0"/>
              <w:spacing w:line="360" w:lineRule="exact"/>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w:t>
            </w:r>
            <w:r>
              <w:rPr>
                <w:rFonts w:hint="eastAsia" w:ascii="仿宋" w:hAnsi="仿宋" w:eastAsia="仿宋" w:cs="仿宋"/>
                <w:szCs w:val="21"/>
              </w:rPr>
              <w:t>纳税人满意度调查与提升</w:t>
            </w:r>
          </w:p>
        </w:tc>
        <w:tc>
          <w:tcPr>
            <w:tcW w:w="1276" w:type="dxa"/>
            <w:noWrap w:val="0"/>
            <w:vAlign w:val="center"/>
          </w:tcPr>
          <w:p>
            <w:pPr>
              <w:snapToGrid w:val="0"/>
              <w:spacing w:line="360" w:lineRule="exact"/>
              <w:jc w:val="center"/>
              <w:rPr>
                <w:rFonts w:ascii="仿宋" w:hAnsi="仿宋" w:eastAsia="仿宋" w:cs="仿宋"/>
                <w:szCs w:val="21"/>
              </w:rPr>
            </w:pPr>
            <w:r>
              <w:rPr>
                <w:rFonts w:hint="eastAsia" w:ascii="仿宋" w:hAnsi="仿宋" w:eastAsia="仿宋" w:cs="仿宋"/>
                <w:szCs w:val="21"/>
              </w:rPr>
              <w:t>0</w:t>
            </w:r>
            <w:r>
              <w:rPr>
                <w:rFonts w:ascii="仿宋" w:hAnsi="仿宋" w:eastAsia="仿宋" w:cs="仿宋"/>
                <w:szCs w:val="21"/>
              </w:rPr>
              <w:t>.5</w:t>
            </w:r>
          </w:p>
        </w:tc>
        <w:tc>
          <w:tcPr>
            <w:tcW w:w="1463" w:type="dxa"/>
            <w:gridSpan w:val="2"/>
            <w:noWrap w:val="0"/>
            <w:vAlign w:val="center"/>
          </w:tcPr>
          <w:p>
            <w:pPr>
              <w:snapToGrid w:val="0"/>
              <w:spacing w:line="360" w:lineRule="exact"/>
              <w:jc w:val="center"/>
              <w:rPr>
                <w:rFonts w:ascii="仿宋" w:hAnsi="仿宋" w:eastAsia="仿宋" w:cs="仿宋"/>
                <w:szCs w:val="21"/>
              </w:rPr>
            </w:pPr>
            <w:r>
              <w:rPr>
                <w:rFonts w:hint="eastAsia" w:ascii="仿宋" w:hAnsi="仿宋" w:eastAsia="仿宋" w:cs="仿宋"/>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615" w:type="dxa"/>
            <w:noWrap w:val="0"/>
            <w:vAlign w:val="center"/>
          </w:tcPr>
          <w:p>
            <w:pPr>
              <w:snapToGrid w:val="0"/>
              <w:spacing w:line="360" w:lineRule="exact"/>
              <w:rPr>
                <w:rFonts w:ascii="仿宋" w:hAnsi="仿宋" w:eastAsia="仿宋" w:cs="仿宋"/>
                <w:szCs w:val="21"/>
              </w:rPr>
            </w:pPr>
            <w:r>
              <w:rPr>
                <w:rFonts w:ascii="仿宋" w:hAnsi="仿宋" w:eastAsia="仿宋" w:cs="仿宋"/>
                <w:szCs w:val="21"/>
              </w:rPr>
              <w:t>4</w:t>
            </w:r>
            <w:r>
              <w:rPr>
                <w:rFonts w:hint="eastAsia" w:ascii="仿宋" w:hAnsi="仿宋" w:eastAsia="仿宋" w:cs="仿宋"/>
                <w:szCs w:val="21"/>
              </w:rPr>
              <w:t>.纳税人权益保护</w:t>
            </w:r>
          </w:p>
        </w:tc>
        <w:tc>
          <w:tcPr>
            <w:tcW w:w="1276" w:type="dxa"/>
            <w:noWrap w:val="0"/>
            <w:vAlign w:val="center"/>
          </w:tcPr>
          <w:p>
            <w:pPr>
              <w:snapToGrid w:val="0"/>
              <w:spacing w:line="360" w:lineRule="exact"/>
              <w:jc w:val="center"/>
              <w:rPr>
                <w:rFonts w:ascii="仿宋" w:hAnsi="仿宋" w:eastAsia="仿宋" w:cs="仿宋"/>
                <w:szCs w:val="21"/>
              </w:rPr>
            </w:pPr>
            <w:r>
              <w:rPr>
                <w:rFonts w:hint="eastAsia" w:ascii="仿宋" w:hAnsi="仿宋" w:eastAsia="仿宋" w:cs="仿宋"/>
                <w:szCs w:val="21"/>
              </w:rPr>
              <w:t>0</w:t>
            </w:r>
            <w:r>
              <w:rPr>
                <w:rFonts w:ascii="仿宋" w:hAnsi="仿宋" w:eastAsia="仿宋" w:cs="仿宋"/>
                <w:szCs w:val="21"/>
              </w:rPr>
              <w:t>.5</w:t>
            </w:r>
          </w:p>
        </w:tc>
        <w:tc>
          <w:tcPr>
            <w:tcW w:w="1463" w:type="dxa"/>
            <w:gridSpan w:val="2"/>
            <w:noWrap w:val="0"/>
            <w:vAlign w:val="center"/>
          </w:tcPr>
          <w:p>
            <w:pPr>
              <w:snapToGrid w:val="0"/>
              <w:spacing w:line="360" w:lineRule="exact"/>
              <w:jc w:val="center"/>
              <w:rPr>
                <w:rFonts w:ascii="仿宋" w:hAnsi="仿宋" w:eastAsia="仿宋" w:cs="仿宋"/>
                <w:szCs w:val="21"/>
              </w:rPr>
            </w:pPr>
            <w:r>
              <w:rPr>
                <w:rFonts w:hint="eastAsia" w:ascii="仿宋" w:hAnsi="仿宋" w:eastAsia="仿宋" w:cs="仿宋"/>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615" w:type="dxa"/>
            <w:noWrap w:val="0"/>
            <w:vAlign w:val="center"/>
          </w:tcPr>
          <w:p>
            <w:pPr>
              <w:snapToGrid w:val="0"/>
              <w:spacing w:line="360" w:lineRule="exact"/>
              <w:rPr>
                <w:rFonts w:ascii="仿宋" w:hAnsi="仿宋" w:eastAsia="仿宋" w:cs="仿宋"/>
                <w:szCs w:val="21"/>
              </w:rPr>
            </w:pPr>
            <w:r>
              <w:rPr>
                <w:rFonts w:hint="eastAsia" w:ascii="仿宋" w:hAnsi="仿宋" w:eastAsia="仿宋" w:cs="仿宋"/>
                <w:szCs w:val="21"/>
              </w:rPr>
              <w:t>5</w:t>
            </w:r>
            <w:r>
              <w:rPr>
                <w:rFonts w:ascii="仿宋" w:hAnsi="仿宋" w:eastAsia="仿宋" w:cs="仿宋"/>
                <w:szCs w:val="21"/>
              </w:rPr>
              <w:t>.</w:t>
            </w:r>
            <w:r>
              <w:rPr>
                <w:rFonts w:hint="eastAsia" w:ascii="仿宋" w:hAnsi="仿宋" w:eastAsia="仿宋" w:cs="仿宋"/>
                <w:szCs w:val="21"/>
              </w:rPr>
              <w:t>打造智慧税务，提升精准服务水平</w:t>
            </w:r>
          </w:p>
        </w:tc>
        <w:tc>
          <w:tcPr>
            <w:tcW w:w="1276" w:type="dxa"/>
            <w:noWrap w:val="0"/>
            <w:vAlign w:val="center"/>
          </w:tcPr>
          <w:p>
            <w:pPr>
              <w:snapToGrid w:val="0"/>
              <w:spacing w:line="360" w:lineRule="exact"/>
              <w:jc w:val="center"/>
              <w:rPr>
                <w:rFonts w:ascii="仿宋" w:hAnsi="仿宋" w:eastAsia="仿宋" w:cs="仿宋"/>
                <w:szCs w:val="21"/>
              </w:rPr>
            </w:pPr>
            <w:r>
              <w:rPr>
                <w:rFonts w:ascii="仿宋" w:hAnsi="仿宋" w:eastAsia="仿宋" w:cs="仿宋"/>
                <w:szCs w:val="21"/>
              </w:rPr>
              <w:t>0.5</w:t>
            </w:r>
          </w:p>
        </w:tc>
        <w:tc>
          <w:tcPr>
            <w:tcW w:w="1463" w:type="dxa"/>
            <w:gridSpan w:val="2"/>
            <w:noWrap w:val="0"/>
            <w:vAlign w:val="center"/>
          </w:tcPr>
          <w:p>
            <w:pPr>
              <w:snapToGrid w:val="0"/>
              <w:spacing w:line="360" w:lineRule="exact"/>
              <w:jc w:val="center"/>
              <w:rPr>
                <w:rFonts w:ascii="仿宋" w:hAnsi="仿宋" w:eastAsia="仿宋" w:cs="仿宋"/>
                <w:szCs w:val="21"/>
              </w:rPr>
            </w:pPr>
            <w:r>
              <w:rPr>
                <w:rFonts w:hint="eastAsia" w:ascii="仿宋" w:hAnsi="仿宋" w:eastAsia="仿宋" w:cs="仿宋"/>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3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615" w:type="dxa"/>
            <w:noWrap w:val="0"/>
            <w:vAlign w:val="center"/>
          </w:tcPr>
          <w:p>
            <w:pPr>
              <w:snapToGrid w:val="0"/>
              <w:spacing w:line="360" w:lineRule="exact"/>
              <w:rPr>
                <w:rFonts w:ascii="仿宋" w:hAnsi="仿宋" w:eastAsia="仿宋" w:cs="仿宋"/>
                <w:szCs w:val="21"/>
              </w:rPr>
            </w:pPr>
            <w:r>
              <w:rPr>
                <w:rFonts w:hint="eastAsia" w:ascii="仿宋" w:hAnsi="仿宋" w:eastAsia="仿宋" w:cs="仿宋"/>
                <w:szCs w:val="21"/>
              </w:rPr>
              <w:t>6.纳税信用赋能，优化营商环境</w:t>
            </w:r>
          </w:p>
        </w:tc>
        <w:tc>
          <w:tcPr>
            <w:tcW w:w="1276" w:type="dxa"/>
            <w:noWrap w:val="0"/>
            <w:vAlign w:val="center"/>
          </w:tcPr>
          <w:p>
            <w:pPr>
              <w:snapToGrid w:val="0"/>
              <w:spacing w:line="360" w:lineRule="exact"/>
              <w:jc w:val="center"/>
              <w:rPr>
                <w:rFonts w:ascii="仿宋" w:hAnsi="仿宋" w:eastAsia="仿宋" w:cs="仿宋"/>
                <w:szCs w:val="21"/>
              </w:rPr>
            </w:pPr>
            <w:r>
              <w:rPr>
                <w:rFonts w:ascii="仿宋" w:hAnsi="仿宋" w:eastAsia="仿宋" w:cs="仿宋"/>
                <w:szCs w:val="21"/>
              </w:rPr>
              <w:t>0.5</w:t>
            </w:r>
          </w:p>
        </w:tc>
        <w:tc>
          <w:tcPr>
            <w:tcW w:w="1463" w:type="dxa"/>
            <w:gridSpan w:val="2"/>
            <w:noWrap w:val="0"/>
            <w:vAlign w:val="center"/>
          </w:tcPr>
          <w:p>
            <w:pPr>
              <w:snapToGrid w:val="0"/>
              <w:spacing w:line="360" w:lineRule="exact"/>
              <w:jc w:val="center"/>
              <w:rPr>
                <w:rFonts w:ascii="仿宋" w:hAnsi="仿宋" w:eastAsia="仿宋" w:cs="仿宋"/>
                <w:szCs w:val="21"/>
              </w:rPr>
            </w:pPr>
            <w:r>
              <w:rPr>
                <w:rFonts w:hint="eastAsia" w:ascii="仿宋" w:hAnsi="仿宋" w:eastAsia="仿宋" w:cs="仿宋"/>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615" w:type="dxa"/>
            <w:noWrap w:val="0"/>
            <w:vAlign w:val="center"/>
          </w:tcPr>
          <w:p>
            <w:pPr>
              <w:snapToGrid w:val="0"/>
              <w:spacing w:line="360" w:lineRule="exact"/>
              <w:rPr>
                <w:rFonts w:ascii="仿宋" w:hAnsi="仿宋" w:eastAsia="仿宋" w:cs="仿宋"/>
                <w:szCs w:val="21"/>
              </w:rPr>
            </w:pPr>
            <w:r>
              <w:rPr>
                <w:rFonts w:hint="eastAsia" w:ascii="仿宋" w:hAnsi="仿宋" w:eastAsia="仿宋" w:cs="仿宋"/>
                <w:szCs w:val="21"/>
              </w:rPr>
              <w:t>7.优化外商投资环境、加大吸引外商投资力度经验分享</w:t>
            </w:r>
          </w:p>
        </w:tc>
        <w:tc>
          <w:tcPr>
            <w:tcW w:w="1276" w:type="dxa"/>
            <w:noWrap w:val="0"/>
            <w:vAlign w:val="center"/>
          </w:tcPr>
          <w:p>
            <w:pPr>
              <w:snapToGrid w:val="0"/>
              <w:spacing w:line="360" w:lineRule="exact"/>
              <w:jc w:val="center"/>
              <w:rPr>
                <w:rFonts w:ascii="仿宋" w:hAnsi="仿宋" w:eastAsia="仿宋" w:cs="仿宋"/>
                <w:szCs w:val="21"/>
              </w:rPr>
            </w:pPr>
            <w:r>
              <w:rPr>
                <w:rFonts w:ascii="仿宋" w:hAnsi="仿宋" w:eastAsia="仿宋" w:cs="仿宋"/>
                <w:szCs w:val="21"/>
              </w:rPr>
              <w:t>0.5</w:t>
            </w:r>
          </w:p>
        </w:tc>
        <w:tc>
          <w:tcPr>
            <w:tcW w:w="1463" w:type="dxa"/>
            <w:gridSpan w:val="2"/>
            <w:noWrap w:val="0"/>
            <w:vAlign w:val="center"/>
          </w:tcPr>
          <w:p>
            <w:pPr>
              <w:snapToGrid w:val="0"/>
              <w:spacing w:line="360" w:lineRule="exact"/>
              <w:jc w:val="center"/>
              <w:rPr>
                <w:rFonts w:ascii="仿宋" w:hAnsi="仿宋" w:eastAsia="仿宋" w:cs="仿宋"/>
                <w:szCs w:val="21"/>
              </w:rPr>
            </w:pPr>
            <w:r>
              <w:rPr>
                <w:rFonts w:hint="eastAsia" w:ascii="仿宋" w:hAnsi="仿宋" w:eastAsia="仿宋" w:cs="仿宋"/>
                <w:szCs w:val="21"/>
              </w:rPr>
              <w:t>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615" w:type="dxa"/>
            <w:noWrap w:val="0"/>
            <w:vAlign w:val="center"/>
          </w:tcPr>
          <w:p>
            <w:pPr>
              <w:snapToGrid w:val="0"/>
              <w:spacing w:line="360" w:lineRule="exact"/>
              <w:rPr>
                <w:rFonts w:ascii="仿宋" w:hAnsi="仿宋" w:eastAsia="仿宋" w:cs="仿宋"/>
                <w:szCs w:val="21"/>
              </w:rPr>
            </w:pPr>
            <w:r>
              <w:rPr>
                <w:rFonts w:ascii="仿宋" w:hAnsi="仿宋" w:eastAsia="仿宋" w:cs="仿宋"/>
                <w:szCs w:val="21"/>
              </w:rPr>
              <w:t>8</w:t>
            </w:r>
            <w:r>
              <w:rPr>
                <w:rFonts w:hint="eastAsia" w:ascii="仿宋" w:hAnsi="仿宋" w:eastAsia="仿宋" w:cs="仿宋"/>
                <w:szCs w:val="21"/>
              </w:rPr>
              <w:t>.上海、宁波优化税收营商环境，助力高质量对外开放经验分享</w:t>
            </w:r>
          </w:p>
        </w:tc>
        <w:tc>
          <w:tcPr>
            <w:tcW w:w="1276" w:type="dxa"/>
            <w:noWrap w:val="0"/>
            <w:vAlign w:val="center"/>
          </w:tcPr>
          <w:p>
            <w:pPr>
              <w:snapToGrid w:val="0"/>
              <w:spacing w:line="360" w:lineRule="exact"/>
              <w:jc w:val="center"/>
              <w:rPr>
                <w:rFonts w:ascii="仿宋" w:hAnsi="仿宋" w:eastAsia="仿宋" w:cs="仿宋"/>
                <w:szCs w:val="21"/>
              </w:rPr>
            </w:pPr>
            <w:r>
              <w:rPr>
                <w:rFonts w:ascii="仿宋" w:hAnsi="仿宋" w:eastAsia="仿宋" w:cs="仿宋"/>
                <w:szCs w:val="21"/>
              </w:rPr>
              <w:t>0.5</w:t>
            </w:r>
          </w:p>
        </w:tc>
        <w:tc>
          <w:tcPr>
            <w:tcW w:w="1463" w:type="dxa"/>
            <w:gridSpan w:val="2"/>
            <w:noWrap w:val="0"/>
            <w:vAlign w:val="center"/>
          </w:tcPr>
          <w:p>
            <w:pPr>
              <w:snapToGrid w:val="0"/>
              <w:spacing w:line="360" w:lineRule="exact"/>
              <w:jc w:val="center"/>
              <w:rPr>
                <w:rFonts w:ascii="仿宋" w:hAnsi="仿宋" w:eastAsia="仿宋" w:cs="仿宋"/>
                <w:szCs w:val="21"/>
              </w:rPr>
            </w:pPr>
            <w:r>
              <w:rPr>
                <w:rFonts w:hint="eastAsia" w:ascii="仿宋" w:hAnsi="仿宋" w:eastAsia="仿宋" w:cs="仿宋"/>
                <w:szCs w:val="21"/>
              </w:rPr>
              <w:t>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615" w:type="dxa"/>
            <w:noWrap w:val="0"/>
            <w:vAlign w:val="center"/>
          </w:tcPr>
          <w:p>
            <w:pPr>
              <w:snapToGrid w:val="0"/>
              <w:spacing w:line="360" w:lineRule="exact"/>
              <w:rPr>
                <w:rFonts w:ascii="仿宋" w:hAnsi="仿宋" w:eastAsia="仿宋" w:cs="仿宋"/>
                <w:szCs w:val="21"/>
              </w:rPr>
            </w:pPr>
            <w:r>
              <w:rPr>
                <w:rFonts w:hint="eastAsia" w:ascii="仿宋" w:hAnsi="仿宋" w:eastAsia="仿宋" w:cs="仿宋"/>
                <w:szCs w:val="21"/>
              </w:rPr>
              <w:t>9.海南自贸岛对标国际高水平经贸规则经验分享</w:t>
            </w:r>
          </w:p>
        </w:tc>
        <w:tc>
          <w:tcPr>
            <w:tcW w:w="1276" w:type="dxa"/>
            <w:noWrap w:val="0"/>
            <w:vAlign w:val="center"/>
          </w:tcPr>
          <w:p>
            <w:pPr>
              <w:snapToGrid w:val="0"/>
              <w:spacing w:line="360" w:lineRule="exact"/>
              <w:jc w:val="center"/>
              <w:rPr>
                <w:rFonts w:ascii="仿宋" w:hAnsi="仿宋" w:eastAsia="仿宋" w:cs="仿宋"/>
                <w:szCs w:val="21"/>
              </w:rPr>
            </w:pPr>
            <w:r>
              <w:rPr>
                <w:rFonts w:ascii="仿宋" w:hAnsi="仿宋" w:eastAsia="仿宋" w:cs="仿宋"/>
                <w:szCs w:val="21"/>
              </w:rPr>
              <w:t>1</w:t>
            </w:r>
          </w:p>
        </w:tc>
        <w:tc>
          <w:tcPr>
            <w:tcW w:w="1463" w:type="dxa"/>
            <w:gridSpan w:val="2"/>
            <w:noWrap w:val="0"/>
            <w:vAlign w:val="center"/>
          </w:tcPr>
          <w:p>
            <w:pPr>
              <w:snapToGrid w:val="0"/>
              <w:spacing w:line="360" w:lineRule="exact"/>
              <w:jc w:val="center"/>
              <w:rPr>
                <w:rFonts w:ascii="仿宋" w:hAnsi="仿宋" w:eastAsia="仿宋" w:cs="仿宋"/>
                <w:szCs w:val="21"/>
              </w:rPr>
            </w:pPr>
            <w:r>
              <w:rPr>
                <w:rFonts w:hint="eastAsia" w:ascii="仿宋" w:hAnsi="仿宋" w:eastAsia="仿宋" w:cs="仿宋"/>
                <w:szCs w:val="21"/>
              </w:rPr>
              <w:t>讲授式+研讨式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615"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10</w:t>
            </w:r>
            <w:r>
              <w:rPr>
                <w:rFonts w:ascii="仿宋" w:hAnsi="仿宋" w:eastAsia="仿宋" w:cs="仿宋"/>
                <w:szCs w:val="21"/>
              </w:rPr>
              <w:t>.</w:t>
            </w:r>
            <w:r>
              <w:rPr>
                <w:rFonts w:hint="eastAsia" w:ascii="仿宋" w:hAnsi="仿宋" w:eastAsia="仿宋" w:cs="仿宋"/>
                <w:szCs w:val="21"/>
              </w:rPr>
              <w:t>研讨交流：当前税收营商环境建设中有哪些亟待解决的问题/优化税收营商环境举措和先进经验分享</w:t>
            </w:r>
          </w:p>
        </w:tc>
        <w:tc>
          <w:tcPr>
            <w:tcW w:w="1276" w:type="dxa"/>
            <w:noWrap w:val="0"/>
            <w:vAlign w:val="center"/>
          </w:tcPr>
          <w:p>
            <w:pPr>
              <w:snapToGrid w:val="0"/>
              <w:spacing w:line="360" w:lineRule="exact"/>
              <w:jc w:val="center"/>
              <w:rPr>
                <w:rFonts w:ascii="仿宋" w:hAnsi="仿宋" w:eastAsia="仿宋" w:cs="仿宋"/>
                <w:szCs w:val="21"/>
              </w:rPr>
            </w:pPr>
            <w:r>
              <w:rPr>
                <w:rFonts w:ascii="仿宋" w:hAnsi="仿宋" w:eastAsia="仿宋" w:cs="仿宋"/>
                <w:szCs w:val="21"/>
              </w:rPr>
              <w:t>0.5</w:t>
            </w:r>
          </w:p>
        </w:tc>
        <w:tc>
          <w:tcPr>
            <w:tcW w:w="1463" w:type="dxa"/>
            <w:gridSpan w:val="2"/>
            <w:noWrap w:val="0"/>
            <w:vAlign w:val="center"/>
          </w:tcPr>
          <w:p>
            <w:pPr>
              <w:snapToGrid w:val="0"/>
              <w:spacing w:line="360" w:lineRule="exact"/>
              <w:jc w:val="center"/>
              <w:rPr>
                <w:rFonts w:ascii="仿宋" w:hAnsi="仿宋" w:eastAsia="仿宋" w:cs="仿宋"/>
                <w:szCs w:val="21"/>
              </w:rPr>
            </w:pPr>
            <w:r>
              <w:rPr>
                <w:rFonts w:hint="eastAsia" w:ascii="仿宋" w:hAnsi="仿宋" w:eastAsia="仿宋" w:cs="仿宋"/>
                <w:szCs w:val="21"/>
              </w:rPr>
              <w:t>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7" w:hRule="atLeast"/>
          <w:jc w:val="center"/>
        </w:trPr>
        <w:tc>
          <w:tcPr>
            <w:tcW w:w="1790" w:type="dxa"/>
            <w:vMerge w:val="restart"/>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非课程环节模块</w:t>
            </w:r>
          </w:p>
          <w:p>
            <w:pPr>
              <w:snapToGrid w:val="0"/>
              <w:spacing w:line="380" w:lineRule="exact"/>
              <w:jc w:val="center"/>
              <w:rPr>
                <w:rFonts w:ascii="仿宋" w:hAnsi="仿宋" w:eastAsia="仿宋" w:cs="仿宋"/>
                <w:b/>
                <w:szCs w:val="21"/>
              </w:rPr>
            </w:pPr>
            <w:r>
              <w:rPr>
                <w:rFonts w:hint="eastAsia" w:ascii="仿宋" w:hAnsi="仿宋" w:eastAsia="仿宋" w:cs="仿宋"/>
                <w:b/>
                <w:szCs w:val="21"/>
              </w:rPr>
              <w:t>（3天）</w:t>
            </w:r>
          </w:p>
        </w:tc>
        <w:tc>
          <w:tcPr>
            <w:tcW w:w="3615"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1.报到、返程</w:t>
            </w:r>
          </w:p>
        </w:tc>
        <w:tc>
          <w:tcPr>
            <w:tcW w:w="1276"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2</w:t>
            </w:r>
          </w:p>
        </w:tc>
        <w:tc>
          <w:tcPr>
            <w:tcW w:w="1463" w:type="dxa"/>
            <w:gridSpan w:val="2"/>
            <w:noWrap w:val="0"/>
            <w:vAlign w:val="center"/>
          </w:tcPr>
          <w:p>
            <w:pPr>
              <w:spacing w:line="380" w:lineRule="exact"/>
              <w:jc w:val="center"/>
              <w:rPr>
                <w:rFonts w:ascii="仿宋" w:hAnsi="仿宋" w:eastAsia="仿宋" w:cs="仿宋"/>
                <w:szCs w:val="21"/>
              </w:rPr>
            </w:pPr>
            <w:r>
              <w:rPr>
                <w:rFonts w:hint="eastAsia" w:ascii="仿宋" w:hAnsi="仿宋" w:eastAsia="仿宋" w:cs="仿宋"/>
                <w:szCs w:val="21"/>
              </w:rPr>
              <w:t>总务处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7"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615"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2.休息</w:t>
            </w:r>
          </w:p>
        </w:tc>
        <w:tc>
          <w:tcPr>
            <w:tcW w:w="1276"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1</w:t>
            </w:r>
          </w:p>
        </w:tc>
        <w:tc>
          <w:tcPr>
            <w:tcW w:w="1463" w:type="dxa"/>
            <w:gridSpan w:val="2"/>
            <w:noWrap w:val="0"/>
            <w:vAlign w:val="top"/>
          </w:tcPr>
          <w:p>
            <w:pPr>
              <w:snapToGrid w:val="0"/>
              <w:spacing w:line="380" w:lineRule="exact"/>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gridAfter w:val="1"/>
          <w:wAfter w:w="8" w:type="dxa"/>
          <w:jc w:val="center"/>
        </w:trPr>
        <w:tc>
          <w:tcPr>
            <w:tcW w:w="5405" w:type="dxa"/>
            <w:gridSpan w:val="2"/>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合   计</w:t>
            </w:r>
          </w:p>
        </w:tc>
        <w:tc>
          <w:tcPr>
            <w:tcW w:w="2731" w:type="dxa"/>
            <w:gridSpan w:val="2"/>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10</w:t>
            </w:r>
          </w:p>
        </w:tc>
      </w:tr>
    </w:tbl>
    <w:p>
      <w:pPr>
        <w:rPr>
          <w:rFonts w:hint="eastAsia"/>
        </w:rPr>
      </w:pPr>
    </w:p>
    <w:p>
      <w:pPr>
        <w:rPr>
          <w:rFonts w:hint="eastAsia"/>
        </w:rPr>
      </w:pP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YTIzZWExZjVjYWMxZTMyNGVmODFjZDBkNWJkNzkifQ=="/>
  </w:docVars>
  <w:rsids>
    <w:rsidRoot w:val="00000000"/>
    <w:rsid w:val="0C136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2023-12-26T11:46:17Z</dcterms:created>
  <dc:creator>dlglh</dc:creator>
  <cp:lastModifiedBy>顾</cp:lastModifiedBy>
  <dcterms:modified xsi:type="dcterms:W3CDTF">2023-12-26T11:46:24Z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4E460032D4C44DEB8BABD520D39C86E5_12</vt:lpwstr>
  </property>
</Properties>
</file>