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仿宋"/>
          <w:sz w:val="32"/>
          <w:szCs w:val="32"/>
        </w:rPr>
      </w:pPr>
      <w:bookmarkStart w:id="0" w:name="_GoBack"/>
      <w:r>
        <w:rPr>
          <w:rFonts w:hint="eastAsia" w:ascii="黑体" w:hAnsi="黑体" w:eastAsia="黑体" w:cs="仿宋"/>
          <w:sz w:val="32"/>
          <w:szCs w:val="32"/>
        </w:rPr>
        <w:t>房地产企业土地增值税清算审核及风险管理</w:t>
      </w:r>
    </w:p>
    <w:p>
      <w:pPr>
        <w:spacing w:after="156" w:afterLines="50" w:line="360" w:lineRule="auto"/>
        <w:jc w:val="center"/>
        <w:rPr>
          <w:rFonts w:hint="eastAsia" w:ascii="黑体" w:hAnsi="黑体" w:eastAsia="黑体" w:cs="仿宋"/>
          <w:sz w:val="32"/>
          <w:szCs w:val="32"/>
        </w:rPr>
      </w:pPr>
      <w:r>
        <w:rPr>
          <w:rFonts w:hint="eastAsia" w:ascii="黑体" w:hAnsi="黑体" w:eastAsia="黑体" w:cs="仿宋"/>
          <w:sz w:val="32"/>
          <w:szCs w:val="32"/>
        </w:rPr>
        <w:t>实战化培训班项目计划书</w:t>
      </w:r>
    </w:p>
    <w:bookmarkEnd w:id="0"/>
    <w:p>
      <w:pPr>
        <w:ind w:firstLine="560" w:firstLineChars="200"/>
        <w:rPr>
          <w:rFonts w:hint="eastAsia" w:ascii="仿宋" w:hAnsi="仿宋" w:eastAsia="仿宋" w:cs="仿宋"/>
          <w:sz w:val="28"/>
          <w:szCs w:val="28"/>
        </w:rPr>
      </w:pPr>
      <w:r>
        <w:rPr>
          <w:rFonts w:hint="eastAsia" w:ascii="仿宋" w:hAnsi="仿宋" w:eastAsia="仿宋" w:cs="仿宋"/>
          <w:sz w:val="28"/>
          <w:szCs w:val="28"/>
        </w:rPr>
        <w:t>土地增值税是税企争议较多的税种，税收执法风险较大，给税务系统负责清算审核工作的业务干部带来一系列专业性挑战。为提升土地增值税清算审核工作的质效，助力高素质、专业化的土地增值税清算风险管理实战型人才队伍建设，提高土地增值税清算业务管理水平提供智力支持，策划设计本项目。</w:t>
      </w:r>
    </w:p>
    <w:p>
      <w:pPr>
        <w:spacing w:after="93" w:afterLines="30"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一、培训对象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从事土地增值税清算审核工作的税务干部</w:t>
      </w:r>
    </w:p>
    <w:p>
      <w:pPr>
        <w:spacing w:after="93" w:afterLines="30"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二、培训目标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通过实战化培训，帮助参训人员认识房地产行业法规与土地增值税税收政策的内在规律，穿透房地产项目开发的底层逻辑，实现“业、财、税、法”的充分结合；打造和提升税务干部土地增值税清算审核和风险管理的能力，培养能审核、会清算的土地增值税业务骨干。</w:t>
      </w:r>
    </w:p>
    <w:p>
      <w:pPr>
        <w:spacing w:after="93" w:afterLines="30"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三、项目特色</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项目以理论化的知识讲授为基础，同时兼顾业务的实战化和实用性。课程以项目的真实背景、真实数据、真实账簿、真实报表、真实案例为蓝本，以总局土地增值税清算管理规程为基础，以土地增值税清算全要素、全流程为主线，详细梳理土地增值税清算审核的主要内容和难点、疑点问题。</w:t>
      </w:r>
    </w:p>
    <w:p>
      <w:pPr>
        <w:spacing w:after="93" w:afterLines="30"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四、培训时间</w:t>
      </w:r>
    </w:p>
    <w:p>
      <w:pPr>
        <w:ind w:firstLine="560" w:firstLineChars="200"/>
        <w:rPr>
          <w:rFonts w:hint="eastAsia" w:ascii="仿宋" w:hAnsi="仿宋" w:eastAsia="仿宋" w:cs="仿宋"/>
          <w:b/>
          <w:sz w:val="28"/>
          <w:szCs w:val="28"/>
        </w:rPr>
      </w:pPr>
      <w:r>
        <w:rPr>
          <w:rFonts w:hint="eastAsia" w:ascii="仿宋" w:hAnsi="仿宋" w:eastAsia="仿宋" w:cs="仿宋"/>
          <w:sz w:val="28"/>
          <w:szCs w:val="28"/>
        </w:rPr>
        <w:t>在校培训时间共</w:t>
      </w:r>
      <w:r>
        <w:rPr>
          <w:rFonts w:ascii="仿宋" w:hAnsi="仿宋" w:eastAsia="仿宋" w:cs="仿宋"/>
          <w:sz w:val="28"/>
          <w:szCs w:val="28"/>
        </w:rPr>
        <w:t>10</w:t>
      </w:r>
      <w:r>
        <w:rPr>
          <w:rFonts w:hint="eastAsia" w:ascii="仿宋" w:hAnsi="仿宋" w:eastAsia="仿宋" w:cs="仿宋"/>
          <w:sz w:val="28"/>
          <w:szCs w:val="28"/>
        </w:rPr>
        <w:t>天，其中课程环节</w:t>
      </w:r>
      <w:r>
        <w:rPr>
          <w:rFonts w:ascii="仿宋" w:hAnsi="仿宋" w:eastAsia="仿宋" w:cs="仿宋"/>
          <w:sz w:val="28"/>
          <w:szCs w:val="28"/>
        </w:rPr>
        <w:t>8</w:t>
      </w:r>
      <w:r>
        <w:rPr>
          <w:rFonts w:hint="eastAsia" w:ascii="仿宋" w:hAnsi="仿宋" w:eastAsia="仿宋" w:cs="仿宋"/>
          <w:sz w:val="28"/>
          <w:szCs w:val="28"/>
        </w:rPr>
        <w:t>天，非课程环节</w:t>
      </w:r>
      <w:r>
        <w:rPr>
          <w:rFonts w:ascii="仿宋" w:hAnsi="仿宋" w:eastAsia="仿宋" w:cs="仿宋"/>
          <w:sz w:val="28"/>
          <w:szCs w:val="28"/>
        </w:rPr>
        <w:t>2</w:t>
      </w:r>
      <w:r>
        <w:rPr>
          <w:rFonts w:hint="eastAsia" w:ascii="仿宋" w:hAnsi="仿宋" w:eastAsia="仿宋" w:cs="仿宋"/>
          <w:sz w:val="28"/>
          <w:szCs w:val="28"/>
        </w:rPr>
        <w:t>天。</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五、课程设置</w:t>
      </w:r>
    </w:p>
    <w:tbl>
      <w:tblPr>
        <w:tblStyle w:val="2"/>
        <w:tblW w:w="881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721"/>
        <w:gridCol w:w="1180"/>
        <w:gridCol w:w="1276"/>
        <w:gridCol w:w="12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83" w:type="dxa"/>
            <w:tcBorders>
              <w:tl2br w:val="nil"/>
              <w:tr2bl w:val="nil"/>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模</w:t>
            </w:r>
            <w:r>
              <w:rPr>
                <w:rFonts w:ascii="仿宋" w:hAnsi="仿宋" w:eastAsia="仿宋" w:cs="仿宋"/>
                <w:b/>
                <w:sz w:val="24"/>
              </w:rPr>
              <w:t xml:space="preserve"> </w:t>
            </w:r>
            <w:r>
              <w:rPr>
                <w:rFonts w:hint="eastAsia" w:ascii="仿宋" w:hAnsi="仿宋" w:eastAsia="仿宋" w:cs="仿宋"/>
                <w:b/>
                <w:sz w:val="24"/>
              </w:rPr>
              <w:t>块</w:t>
            </w:r>
          </w:p>
        </w:tc>
        <w:tc>
          <w:tcPr>
            <w:tcW w:w="3721" w:type="dxa"/>
            <w:tcBorders>
              <w:tl2br w:val="nil"/>
              <w:tr2bl w:val="nil"/>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培训内容</w:t>
            </w:r>
          </w:p>
        </w:tc>
        <w:tc>
          <w:tcPr>
            <w:tcW w:w="1180" w:type="dxa"/>
            <w:tcBorders>
              <w:tl2br w:val="nil"/>
              <w:tr2bl w:val="nil"/>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课时（天）</w:t>
            </w:r>
          </w:p>
        </w:tc>
        <w:tc>
          <w:tcPr>
            <w:tcW w:w="1276" w:type="dxa"/>
            <w:tcBorders>
              <w:tl2br w:val="nil"/>
              <w:tr2bl w:val="nil"/>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拟聘师资</w:t>
            </w:r>
          </w:p>
        </w:tc>
        <w:tc>
          <w:tcPr>
            <w:tcW w:w="1254" w:type="dxa"/>
            <w:tcBorders>
              <w:tl2br w:val="nil"/>
              <w:tr2bl w:val="nil"/>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83" w:type="dxa"/>
            <w:vMerge w:val="restart"/>
            <w:tcBorders>
              <w:tl2br w:val="nil"/>
              <w:tr2bl w:val="nil"/>
            </w:tcBorders>
            <w:vAlign w:val="center"/>
          </w:tcPr>
          <w:p>
            <w:pPr>
              <w:pStyle w:val="4"/>
              <w:jc w:val="center"/>
              <w:rPr>
                <w:rFonts w:hint="eastAsia" w:ascii="仿宋" w:hAnsi="仿宋" w:eastAsia="仿宋" w:cs="仿宋"/>
                <w:b/>
                <w:bCs/>
                <w:sz w:val="24"/>
                <w:szCs w:val="24"/>
              </w:rPr>
            </w:pPr>
            <w:r>
              <w:rPr>
                <w:rFonts w:hint="eastAsia" w:ascii="仿宋" w:hAnsi="仿宋" w:eastAsia="仿宋" w:cs="仿宋"/>
                <w:b/>
                <w:bCs/>
                <w:sz w:val="24"/>
                <w:szCs w:val="24"/>
              </w:rPr>
              <w:t>党的理论</w:t>
            </w:r>
          </w:p>
          <w:p>
            <w:pPr>
              <w:pStyle w:val="4"/>
              <w:jc w:val="center"/>
              <w:rPr>
                <w:rFonts w:hint="eastAsia" w:ascii="仿宋" w:hAnsi="仿宋" w:eastAsia="仿宋" w:cs="仿宋"/>
                <w:b/>
                <w:bCs/>
                <w:sz w:val="24"/>
                <w:szCs w:val="24"/>
              </w:rPr>
            </w:pPr>
            <w:r>
              <w:rPr>
                <w:rFonts w:hint="eastAsia" w:ascii="仿宋" w:hAnsi="仿宋" w:eastAsia="仿宋" w:cs="仿宋"/>
                <w:b/>
                <w:bCs/>
                <w:sz w:val="24"/>
                <w:szCs w:val="24"/>
              </w:rPr>
              <w:t>与</w:t>
            </w:r>
          </w:p>
          <w:p>
            <w:pPr>
              <w:pStyle w:val="4"/>
              <w:jc w:val="center"/>
              <w:rPr>
                <w:rFonts w:hint="eastAsia" w:ascii="仿宋" w:hAnsi="仿宋" w:eastAsia="仿宋" w:cs="仿宋"/>
                <w:b/>
                <w:bCs/>
                <w:sz w:val="24"/>
                <w:szCs w:val="24"/>
              </w:rPr>
            </w:pPr>
            <w:r>
              <w:rPr>
                <w:rFonts w:hint="eastAsia" w:ascii="仿宋" w:hAnsi="仿宋" w:eastAsia="仿宋" w:cs="仿宋"/>
                <w:b/>
                <w:bCs/>
                <w:sz w:val="24"/>
                <w:szCs w:val="24"/>
              </w:rPr>
              <w:t>党性教育</w:t>
            </w:r>
          </w:p>
          <w:p>
            <w:pPr>
              <w:spacing w:line="360" w:lineRule="auto"/>
              <w:jc w:val="center"/>
              <w:rPr>
                <w:rFonts w:hint="eastAsia" w:ascii="仿宋" w:hAnsi="仿宋" w:eastAsia="仿宋" w:cs="仿宋"/>
                <w:b/>
                <w:sz w:val="24"/>
              </w:rPr>
            </w:pPr>
            <w:r>
              <w:rPr>
                <w:rFonts w:ascii="仿宋" w:hAnsi="仿宋" w:eastAsia="仿宋" w:cs="仿宋"/>
                <w:b/>
                <w:bCs/>
                <w:sz w:val="24"/>
              </w:rPr>
              <w:t>(1</w:t>
            </w:r>
            <w:r>
              <w:rPr>
                <w:rFonts w:hint="eastAsia" w:ascii="仿宋" w:hAnsi="仿宋" w:eastAsia="仿宋" w:cs="仿宋"/>
                <w:b/>
                <w:bCs/>
                <w:sz w:val="24"/>
              </w:rPr>
              <w:t>.5天</w:t>
            </w:r>
            <w:r>
              <w:rPr>
                <w:rFonts w:ascii="仿宋" w:hAnsi="仿宋" w:eastAsia="仿宋" w:cs="仿宋"/>
                <w:b/>
                <w:bCs/>
                <w:sz w:val="24"/>
              </w:rPr>
              <w:t>)</w:t>
            </w: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党的理论与党性教育相关课程</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校内教师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主题党日活动</w:t>
            </w:r>
          </w:p>
        </w:tc>
        <w:tc>
          <w:tcPr>
            <w:tcW w:w="1180"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1</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校内教师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restart"/>
            <w:tcBorders>
              <w:tl2br w:val="nil"/>
              <w:tr2bl w:val="nil"/>
            </w:tcBorders>
            <w:vAlign w:val="center"/>
          </w:tcPr>
          <w:p>
            <w:pPr>
              <w:ind w:right="-55"/>
              <w:jc w:val="center"/>
              <w:rPr>
                <w:rFonts w:hint="eastAsia" w:ascii="仿宋" w:hAnsi="仿宋" w:eastAsia="仿宋" w:cs="仿宋"/>
                <w:b/>
                <w:sz w:val="24"/>
              </w:rPr>
            </w:pPr>
            <w:r>
              <w:rPr>
                <w:rFonts w:hint="eastAsia" w:ascii="仿宋" w:hAnsi="仿宋" w:eastAsia="仿宋" w:cs="仿宋"/>
                <w:b/>
                <w:sz w:val="24"/>
              </w:rPr>
              <w:t>核心业务</w:t>
            </w:r>
          </w:p>
          <w:p>
            <w:pPr>
              <w:ind w:right="-55"/>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5</w:t>
            </w:r>
            <w:r>
              <w:rPr>
                <w:rFonts w:hint="eastAsia" w:ascii="仿宋" w:hAnsi="仿宋" w:eastAsia="仿宋" w:cs="仿宋"/>
                <w:b/>
                <w:sz w:val="24"/>
              </w:rPr>
              <w:t>天）</w:t>
            </w: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土地增值税清算风险防控指引</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1</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校内教师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土地增值税清算疑难问题解析</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校内教师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土地增值税清算审核要点与经典案例分享</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外聘教师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rPr>
              <w:t>土地增值税成本分摊方法及示例</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外聘教师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5.</w:t>
            </w:r>
            <w:r>
              <w:rPr>
                <w:rFonts w:hint="eastAsia" w:ascii="仿宋" w:hAnsi="仿宋" w:eastAsia="仿宋" w:cs="仿宋"/>
                <w:sz w:val="24"/>
              </w:rPr>
              <w:t>土地增值税与企业所得税、增值税互动管理</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校内教师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6.</w:t>
            </w:r>
            <w:r>
              <w:rPr>
                <w:rFonts w:hint="eastAsia" w:ascii="仿宋" w:hAnsi="仿宋" w:eastAsia="仿宋" w:cs="仿宋"/>
                <w:sz w:val="24"/>
              </w:rPr>
              <w:t>土地增值税相关的涉税法律应用</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校内教师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7.</w:t>
            </w:r>
            <w:r>
              <w:rPr>
                <w:rFonts w:hint="eastAsia" w:ascii="仿宋" w:hAnsi="仿宋" w:eastAsia="仿宋" w:cs="仿宋"/>
                <w:sz w:val="24"/>
              </w:rPr>
              <w:t>土地增值税清算全流程模拟演练</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1</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外聘教师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实战化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税务机关如何审核中介鉴证报告</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外聘教师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实战化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restart"/>
            <w:tcBorders>
              <w:tl2br w:val="nil"/>
              <w:tr2bl w:val="nil"/>
            </w:tcBorders>
            <w:vAlign w:val="center"/>
          </w:tcPr>
          <w:p>
            <w:pPr>
              <w:ind w:right="-55"/>
              <w:jc w:val="center"/>
              <w:rPr>
                <w:rFonts w:hint="eastAsia" w:ascii="仿宋" w:hAnsi="仿宋" w:eastAsia="仿宋" w:cs="仿宋"/>
                <w:b/>
                <w:sz w:val="24"/>
              </w:rPr>
            </w:pPr>
            <w:r>
              <w:rPr>
                <w:rFonts w:hint="eastAsia" w:ascii="仿宋" w:hAnsi="仿宋" w:eastAsia="仿宋" w:cs="仿宋"/>
                <w:b/>
                <w:sz w:val="24"/>
              </w:rPr>
              <w:t>相关业务</w:t>
            </w:r>
          </w:p>
          <w:p>
            <w:pPr>
              <w:ind w:right="-55"/>
              <w:jc w:val="center"/>
              <w:rPr>
                <w:rFonts w:hint="eastAsia" w:ascii="仿宋" w:hAnsi="仿宋" w:eastAsia="仿宋" w:cs="仿宋"/>
                <w:b/>
                <w:sz w:val="24"/>
              </w:rPr>
            </w:pPr>
            <w:r>
              <w:rPr>
                <w:rFonts w:hint="eastAsia" w:ascii="仿宋" w:hAnsi="仿宋" w:eastAsia="仿宋" w:cs="仿宋"/>
                <w:b/>
                <w:sz w:val="24"/>
              </w:rPr>
              <w:t>（2天）</w:t>
            </w: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开发项目报批报建流程详解</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外聘教师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房地产开发项目全流程会计核算</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校内教师</w:t>
            </w:r>
          </w:p>
        </w:tc>
        <w:tc>
          <w:tcPr>
            <w:tcW w:w="1254" w:type="dxa"/>
            <w:tcBorders>
              <w:tl2br w:val="nil"/>
              <w:tr2bl w:val="nil"/>
            </w:tcBorders>
            <w:vAlign w:val="center"/>
          </w:tcPr>
          <w:p>
            <w:pPr>
              <w:ind w:right="-55" w:firstLine="33" w:firstLineChars="14"/>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工程造价与涉税应用</w:t>
            </w:r>
          </w:p>
        </w:tc>
        <w:tc>
          <w:tcPr>
            <w:tcW w:w="1180" w:type="dxa"/>
            <w:tcBorders>
              <w:tl2br w:val="nil"/>
              <w:tr2bl w:val="nil"/>
            </w:tcBorders>
            <w:vAlign w:val="center"/>
          </w:tcPr>
          <w:p>
            <w:pPr>
              <w:ind w:right="-55"/>
              <w:jc w:val="center"/>
              <w:rPr>
                <w:rFonts w:hint="eastAsia" w:ascii="仿宋" w:hAnsi="仿宋" w:eastAsia="仿宋" w:cs="仿宋"/>
                <w:sz w:val="24"/>
              </w:rPr>
            </w:pPr>
            <w:r>
              <w:rPr>
                <w:rFonts w:ascii="仿宋" w:hAnsi="仿宋" w:eastAsia="仿宋" w:cs="仿宋"/>
                <w:sz w:val="24"/>
              </w:rPr>
              <w:t>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外聘教师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hint="eastAsia" w:ascii="仿宋" w:hAnsi="仿宋" w:eastAsia="仿宋" w:cs="仿宋"/>
                <w:sz w:val="24"/>
              </w:rPr>
              <w:t>4.研讨交流：如何有效解决土地增值税清算中的税企争议？</w:t>
            </w:r>
          </w:p>
        </w:tc>
        <w:tc>
          <w:tcPr>
            <w:tcW w:w="1180"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晚课0.5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校内教师</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vMerge w:val="continue"/>
            <w:tcBorders>
              <w:tl2br w:val="nil"/>
              <w:tr2bl w:val="nil"/>
            </w:tcBorders>
            <w:vAlign w:val="center"/>
          </w:tcPr>
          <w:p>
            <w:pPr>
              <w:spacing w:line="360" w:lineRule="auto"/>
              <w:jc w:val="center"/>
              <w:rPr>
                <w:rFonts w:hint="eastAsia" w:ascii="仿宋" w:hAnsi="仿宋" w:eastAsia="仿宋" w:cs="仿宋"/>
                <w:b/>
                <w:sz w:val="24"/>
              </w:rPr>
            </w:pPr>
          </w:p>
        </w:tc>
        <w:tc>
          <w:tcPr>
            <w:tcW w:w="3721" w:type="dxa"/>
            <w:tcBorders>
              <w:tl2br w:val="nil"/>
              <w:tr2bl w:val="nil"/>
            </w:tcBorders>
            <w:vAlign w:val="center"/>
          </w:tcPr>
          <w:p>
            <w:pPr>
              <w:ind w:right="-55"/>
              <w:jc w:val="left"/>
              <w:rPr>
                <w:rFonts w:hint="eastAsia" w:ascii="仿宋" w:hAnsi="仿宋" w:eastAsia="仿宋" w:cs="仿宋"/>
                <w:sz w:val="24"/>
              </w:rPr>
            </w:pPr>
            <w:r>
              <w:rPr>
                <w:rFonts w:hint="eastAsia" w:ascii="仿宋" w:hAnsi="仿宋" w:eastAsia="仿宋" w:cs="仿宋"/>
                <w:sz w:val="24"/>
              </w:rPr>
              <w:t>5.中国共产党百年税收发展史讲座</w:t>
            </w:r>
          </w:p>
        </w:tc>
        <w:tc>
          <w:tcPr>
            <w:tcW w:w="1180"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0.5</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学习兴税</w:t>
            </w:r>
            <w:r>
              <w:rPr>
                <w:rFonts w:ascii="仿宋" w:hAnsi="仿宋" w:eastAsia="仿宋" w:cs="仿宋"/>
                <w:sz w:val="24"/>
              </w:rPr>
              <w:t>——</w:t>
            </w:r>
            <w:r>
              <w:rPr>
                <w:rFonts w:hint="eastAsia" w:ascii="仿宋" w:hAnsi="仿宋" w:eastAsia="仿宋" w:cs="仿宋"/>
                <w:sz w:val="24"/>
              </w:rPr>
              <w:t>标课</w:t>
            </w:r>
          </w:p>
        </w:tc>
        <w:tc>
          <w:tcPr>
            <w:tcW w:w="1254"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自主学习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3" w:type="dxa"/>
            <w:tcBorders>
              <w:tl2br w:val="nil"/>
              <w:tr2bl w:val="nil"/>
            </w:tcBorders>
            <w:vAlign w:val="center"/>
          </w:tcPr>
          <w:p>
            <w:pPr>
              <w:ind w:right="-55"/>
              <w:jc w:val="center"/>
              <w:rPr>
                <w:rFonts w:hint="eastAsia" w:ascii="仿宋" w:hAnsi="仿宋" w:eastAsia="仿宋" w:cs="仿宋"/>
                <w:b/>
                <w:sz w:val="24"/>
              </w:rPr>
            </w:pPr>
            <w:r>
              <w:rPr>
                <w:rFonts w:hint="eastAsia" w:ascii="仿宋" w:hAnsi="仿宋" w:eastAsia="仿宋" w:cs="仿宋"/>
                <w:b/>
                <w:sz w:val="24"/>
              </w:rPr>
              <w:t>非课程环节</w:t>
            </w:r>
          </w:p>
          <w:p>
            <w:pPr>
              <w:spacing w:line="360" w:lineRule="auto"/>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2</w:t>
            </w:r>
            <w:r>
              <w:rPr>
                <w:rFonts w:hint="eastAsia" w:ascii="仿宋" w:hAnsi="仿宋" w:eastAsia="仿宋" w:cs="仿宋"/>
                <w:b/>
                <w:sz w:val="24"/>
              </w:rPr>
              <w:t>天）</w:t>
            </w:r>
          </w:p>
        </w:tc>
        <w:tc>
          <w:tcPr>
            <w:tcW w:w="3721" w:type="dxa"/>
            <w:tcBorders>
              <w:tl2br w:val="nil"/>
              <w:tr2bl w:val="nil"/>
            </w:tcBorders>
            <w:vAlign w:val="center"/>
          </w:tcPr>
          <w:p>
            <w:pPr>
              <w:ind w:right="-55"/>
              <w:jc w:val="lef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.报到返程</w:t>
            </w:r>
          </w:p>
        </w:tc>
        <w:tc>
          <w:tcPr>
            <w:tcW w:w="1180"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.0</w:t>
            </w:r>
          </w:p>
        </w:tc>
        <w:tc>
          <w:tcPr>
            <w:tcW w:w="1276" w:type="dxa"/>
            <w:tcBorders>
              <w:tl2br w:val="nil"/>
              <w:tr2bl w:val="nil"/>
            </w:tcBorders>
            <w:vAlign w:val="center"/>
          </w:tcPr>
          <w:p>
            <w:pPr>
              <w:ind w:right="-55"/>
              <w:jc w:val="center"/>
              <w:rPr>
                <w:rFonts w:hint="eastAsia" w:ascii="仿宋" w:hAnsi="仿宋" w:eastAsia="仿宋" w:cs="仿宋"/>
                <w:sz w:val="24"/>
              </w:rPr>
            </w:pPr>
            <w:r>
              <w:rPr>
                <w:rFonts w:hint="eastAsia" w:ascii="仿宋" w:hAnsi="仿宋" w:eastAsia="仿宋" w:cs="仿宋"/>
                <w:sz w:val="24"/>
              </w:rPr>
              <w:t>总务处</w:t>
            </w:r>
          </w:p>
        </w:tc>
        <w:tc>
          <w:tcPr>
            <w:tcW w:w="1254" w:type="dxa"/>
            <w:tcBorders>
              <w:tl2br w:val="nil"/>
              <w:tr2bl w:val="nil"/>
            </w:tcBorders>
            <w:vAlign w:val="center"/>
          </w:tcPr>
          <w:p>
            <w:pPr>
              <w:ind w:right="-55"/>
              <w:jc w:val="center"/>
              <w:rPr>
                <w:rFonts w:hint="eastAsia" w:ascii="仿宋" w:hAnsi="仿宋" w:eastAsia="仿宋" w:cs="仿宋"/>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95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No Spacing"/>
    <w:qFormat/>
    <w:uiPriority w:val="1"/>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2025-01-06T07:29:19Z</dcterms:created>
  <dc:creator>Administrator</dc:creator>
  <cp:lastModifiedBy>Administrator</cp:lastModifiedBy>
  <dcterms:modified xsi:type="dcterms:W3CDTF">2025-01-06T07:29:34Z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