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智慧税务时代的纳税服务创新与实践培训班</w:t>
      </w:r>
    </w:p>
    <w:bookmarkEnd w:id="0"/>
    <w:p>
      <w:pPr>
        <w:snapToGrid w:val="0"/>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项目计划书</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随着大数据、云计算、人工智能等现代信息技术的快速发展，智慧税务成为税务发展的新趋势。传统纳税服务模式已无法满足企业和纳税人的需求，税务部门和企业都迫切需要探索智慧税务背景下的服务新模式。国家税务总局正在推进以信息化为支撑的税收征管现代化，其中智慧税务建设成为了改革的重要内容。智慧税务的发展要求税务人员具备更高的信息技术应用能力和创新服务意识，据此策划本项目。</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办税服务厅主任、纳税服务科</w:t>
      </w:r>
      <w:r>
        <w:rPr>
          <w:rFonts w:ascii="仿宋" w:hAnsi="仿宋" w:eastAsia="仿宋" w:cs="仿宋"/>
          <w:sz w:val="28"/>
          <w:szCs w:val="28"/>
        </w:rPr>
        <w:t>/</w:t>
      </w:r>
      <w:r>
        <w:rPr>
          <w:rFonts w:hint="eastAsia" w:ascii="仿宋" w:hAnsi="仿宋" w:eastAsia="仿宋" w:cs="仿宋"/>
          <w:sz w:val="28"/>
          <w:szCs w:val="28"/>
        </w:rPr>
        <w:t>股负责人、专干以及智慧办税相关工作人员</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通过培训，引导学员理解和掌握智慧税务的概念、技术和应用，促进纳税服务方式的创新。增强税务人员在智慧税务环境下，运用现代信息技术进行业务处理和纳税服务能力，提升纳税服务水平。</w:t>
      </w:r>
    </w:p>
    <w:p>
      <w:pPr>
        <w:tabs>
          <w:tab w:val="left" w:pos="259"/>
        </w:tabs>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w:t>
      </w:r>
      <w:r>
        <w:rPr>
          <w:rFonts w:ascii="仿宋" w:hAnsi="仿宋" w:eastAsia="仿宋" w:cs="仿宋"/>
          <w:sz w:val="28"/>
          <w:szCs w:val="28"/>
        </w:rPr>
        <w:t>10</w:t>
      </w:r>
      <w:r>
        <w:rPr>
          <w:rFonts w:hint="eastAsia" w:ascii="仿宋" w:hAnsi="仿宋" w:eastAsia="仿宋" w:cs="仿宋"/>
          <w:sz w:val="28"/>
          <w:szCs w:val="28"/>
        </w:rPr>
        <w:t>天，其中课程环节</w:t>
      </w:r>
      <w:r>
        <w:rPr>
          <w:rFonts w:ascii="仿宋" w:hAnsi="仿宋" w:eastAsia="仿宋" w:cs="仿宋"/>
          <w:sz w:val="28"/>
          <w:szCs w:val="28"/>
        </w:rPr>
        <w:t>8</w:t>
      </w:r>
      <w:r>
        <w:rPr>
          <w:rFonts w:hint="eastAsia" w:ascii="仿宋" w:hAnsi="仿宋" w:eastAsia="仿宋" w:cs="仿宋"/>
          <w:sz w:val="28"/>
          <w:szCs w:val="28"/>
        </w:rPr>
        <w:t>天，非课程环节</w:t>
      </w:r>
      <w:r>
        <w:rPr>
          <w:rFonts w:ascii="仿宋" w:hAnsi="仿宋" w:eastAsia="仿宋" w:cs="仿宋"/>
          <w:sz w:val="28"/>
          <w:szCs w:val="28"/>
        </w:rPr>
        <w:t>2</w:t>
      </w:r>
      <w:r>
        <w:rPr>
          <w:rFonts w:hint="eastAsia" w:ascii="仿宋" w:hAnsi="仿宋" w:eastAsia="仿宋" w:cs="仿宋"/>
          <w:sz w:val="28"/>
          <w:szCs w:val="28"/>
        </w:rPr>
        <w:t>天。</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四、课程设置</w:t>
      </w:r>
    </w:p>
    <w:tbl>
      <w:tblPr>
        <w:tblStyle w:val="2"/>
        <w:tblW w:w="86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2"/>
        <w:gridCol w:w="3343"/>
        <w:gridCol w:w="1253"/>
        <w:gridCol w:w="1242"/>
        <w:gridCol w:w="1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1502"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34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培训内容</w:t>
            </w:r>
          </w:p>
        </w:tc>
        <w:tc>
          <w:tcPr>
            <w:tcW w:w="125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课时（天）</w:t>
            </w:r>
          </w:p>
        </w:tc>
        <w:tc>
          <w:tcPr>
            <w:tcW w:w="1242" w:type="dxa"/>
            <w:tcBorders>
              <w:right w:val="single" w:color="auto" w:sz="4" w:space="0"/>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拟聘师资</w:t>
            </w:r>
          </w:p>
        </w:tc>
        <w:tc>
          <w:tcPr>
            <w:tcW w:w="1310"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1502" w:type="dxa"/>
            <w:vMerge w:val="restart"/>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1.5</w:t>
            </w:r>
            <w:r>
              <w:rPr>
                <w:rFonts w:hint="eastAsia" w:ascii="仿宋" w:hAnsi="仿宋" w:eastAsia="仿宋" w:cs="仿宋"/>
                <w:b/>
                <w:sz w:val="24"/>
              </w:rPr>
              <w:t>天）</w:t>
            </w:r>
          </w:p>
        </w:tc>
        <w:tc>
          <w:tcPr>
            <w:tcW w:w="3343" w:type="dxa"/>
            <w:vAlign w:val="center"/>
          </w:tcPr>
          <w:p>
            <w:pPr>
              <w:adjustRightInd w:val="0"/>
              <w:snapToGrid w:val="0"/>
              <w:ind w:right="-57"/>
              <w:jc w:val="left"/>
              <w:rPr>
                <w:rFonts w:hint="eastAsia" w:ascii="仿宋" w:hAnsi="仿宋" w:eastAsia="仿宋" w:cs="仿宋"/>
                <w:sz w:val="24"/>
              </w:rPr>
            </w:pPr>
            <w:r>
              <w:rPr>
                <w:rFonts w:ascii="仿宋" w:hAnsi="仿宋" w:eastAsia="仿宋" w:cs="仿宋"/>
                <w:bCs/>
                <w:sz w:val="24"/>
              </w:rPr>
              <w:t>1.</w:t>
            </w:r>
            <w:r>
              <w:rPr>
                <w:rFonts w:hint="eastAsia" w:ascii="仿宋" w:hAnsi="仿宋" w:eastAsia="仿宋" w:cs="仿宋"/>
                <w:sz w:val="24"/>
                <w:lang w:val="zh-CN"/>
              </w:rPr>
              <w:t>党的理论与党性教育相关课程</w:t>
            </w:r>
          </w:p>
        </w:tc>
        <w:tc>
          <w:tcPr>
            <w:tcW w:w="1253" w:type="dxa"/>
            <w:vAlign w:val="center"/>
          </w:tcPr>
          <w:p>
            <w:pPr>
              <w:adjustRightInd w:val="0"/>
              <w:snapToGrid w:val="0"/>
              <w:spacing w:line="360" w:lineRule="auto"/>
              <w:ind w:right="-55"/>
              <w:jc w:val="center"/>
              <w:rPr>
                <w:rFonts w:hint="eastAsia" w:ascii="仿宋" w:hAnsi="仿宋" w:eastAsia="仿宋" w:cs="仿宋"/>
                <w:bCs/>
                <w:sz w:val="24"/>
              </w:rPr>
            </w:pPr>
            <w:r>
              <w:rPr>
                <w:rFonts w:ascii="仿宋" w:hAnsi="仿宋" w:eastAsia="仿宋" w:cs="仿宋"/>
                <w:bCs/>
                <w:sz w:val="24"/>
              </w:rPr>
              <w:t>1</w:t>
            </w:r>
          </w:p>
        </w:tc>
        <w:tc>
          <w:tcPr>
            <w:tcW w:w="1242" w:type="dxa"/>
            <w:tcBorders>
              <w:right w:val="single" w:color="auto" w:sz="4" w:space="0"/>
            </w:tcBorders>
            <w:vAlign w:val="center"/>
          </w:tcPr>
          <w:p>
            <w:pPr>
              <w:adjustRightInd w:val="0"/>
              <w:snapToGrid w:val="0"/>
              <w:spacing w:line="360" w:lineRule="auto"/>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spacing w:line="360" w:lineRule="auto"/>
              <w:ind w:right="-55"/>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7"/>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主题党日活动</w:t>
            </w:r>
          </w:p>
        </w:tc>
        <w:tc>
          <w:tcPr>
            <w:tcW w:w="1253" w:type="dxa"/>
            <w:vAlign w:val="center"/>
          </w:tcPr>
          <w:p>
            <w:pPr>
              <w:adjustRightInd w:val="0"/>
              <w:snapToGrid w:val="0"/>
              <w:ind w:right="-57"/>
              <w:jc w:val="center"/>
              <w:rPr>
                <w:rFonts w:hint="eastAsia" w:ascii="仿宋" w:hAnsi="仿宋" w:eastAsia="仿宋" w:cs="仿宋"/>
                <w:sz w:val="24"/>
              </w:rPr>
            </w:pPr>
            <w:r>
              <w:rPr>
                <w:rFonts w:ascii="仿宋" w:hAnsi="仿宋" w:eastAsia="仿宋" w:cs="仿宋"/>
                <w:bCs/>
                <w:sz w:val="24"/>
              </w:rPr>
              <w:t>0.5</w:t>
            </w:r>
          </w:p>
        </w:tc>
        <w:tc>
          <w:tcPr>
            <w:tcW w:w="1242" w:type="dxa"/>
            <w:tcBorders>
              <w:right w:val="single" w:color="auto" w:sz="4" w:space="0"/>
            </w:tcBorders>
            <w:vAlign w:val="center"/>
          </w:tcPr>
          <w:p>
            <w:pPr>
              <w:adjustRightInd w:val="0"/>
              <w:snapToGrid w:val="0"/>
              <w:ind w:right="-57"/>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7"/>
              <w:jc w:val="center"/>
              <w:rPr>
                <w:rFonts w:hint="eastAsia" w:ascii="仿宋" w:hAnsi="仿宋" w:eastAsia="仿宋" w:cs="仿宋"/>
                <w:sz w:val="24"/>
              </w:rPr>
            </w:pPr>
            <w:r>
              <w:rPr>
                <w:rFonts w:hint="eastAsia" w:ascii="仿宋" w:hAnsi="仿宋" w:eastAsia="仿宋" w:cs="仿宋"/>
                <w:sz w:val="24"/>
              </w:rPr>
              <w:t>体验式</w:t>
            </w:r>
          </w:p>
        </w:tc>
      </w:tr>
    </w:tbl>
    <w:p>
      <w:pPr>
        <w:snapToGrid w:val="0"/>
        <w:spacing w:line="360" w:lineRule="auto"/>
        <w:jc w:val="center"/>
        <w:rPr>
          <w:rFonts w:hint="eastAsia" w:ascii="仿宋" w:hAnsi="仿宋" w:eastAsia="仿宋" w:cs="仿宋"/>
          <w:b/>
          <w:sz w:val="24"/>
        </w:rPr>
      </w:pPr>
      <w:r>
        <w:rPr>
          <w:rFonts w:hint="eastAsia" w:ascii="仿宋" w:hAnsi="仿宋" w:eastAsia="仿宋" w:cs="仿宋"/>
          <w:b/>
          <w:sz w:val="24"/>
        </w:rPr>
        <w:br w:type="page"/>
      </w:r>
    </w:p>
    <w:tbl>
      <w:tblPr>
        <w:tblStyle w:val="2"/>
        <w:tblW w:w="865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2"/>
        <w:gridCol w:w="3343"/>
        <w:gridCol w:w="1253"/>
        <w:gridCol w:w="1242"/>
        <w:gridCol w:w="13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restart"/>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auto"/>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4</w:t>
            </w:r>
            <w:r>
              <w:rPr>
                <w:rFonts w:hint="eastAsia" w:ascii="仿宋" w:hAnsi="仿宋" w:eastAsia="仿宋" w:cs="仿宋"/>
                <w:b/>
                <w:sz w:val="24"/>
              </w:rPr>
              <w:t>天）</w:t>
            </w:r>
          </w:p>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智慧税务发展趋势与纳税服务创新</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大数据、人工智能在纳税服务中的应用</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1"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电子税务局与云端办税实务</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纳税信用体系建设与纳税服务</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5"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纳税服务工作规范及风险管理</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培训主题沙龙：“智慧税务时代的纳税服务创新与实践”经验分享</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外聘教师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案例式</w:t>
            </w:r>
            <w:r>
              <w:rPr>
                <w:rFonts w:ascii="仿宋" w:hAnsi="仿宋" w:eastAsia="仿宋" w:cs="仿宋"/>
                <w:sz w:val="24"/>
              </w:rPr>
              <w:t>+</w:t>
            </w:r>
          </w:p>
          <w:p>
            <w:pPr>
              <w:adjustRightInd w:val="0"/>
              <w:snapToGrid w:val="0"/>
              <w:ind w:right="-55"/>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5"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w:t>
            </w:r>
            <w:r>
              <w:rPr>
                <w:rFonts w:hint="eastAsia" w:ascii="仿宋" w:hAnsi="仿宋" w:eastAsia="仿宋" w:cs="仿宋"/>
                <w:sz w:val="24"/>
              </w:rPr>
              <w:t>现场教学：构建优质高效智能服务体系，全方位提高税务服务能力</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3"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color w:val="000000"/>
                <w:sz w:val="24"/>
              </w:rPr>
              <w:t>8</w:t>
            </w:r>
            <w:r>
              <w:rPr>
                <w:rFonts w:ascii="仿宋" w:hAnsi="仿宋" w:eastAsia="仿宋" w:cs="仿宋"/>
                <w:color w:val="000000"/>
                <w:sz w:val="24"/>
              </w:rPr>
              <w:t>.</w:t>
            </w:r>
            <w:r>
              <w:rPr>
                <w:rFonts w:hint="eastAsia" w:ascii="仿宋" w:hAnsi="仿宋" w:eastAsia="仿宋" w:cs="仿宋"/>
                <w:color w:val="000000"/>
                <w:sz w:val="24"/>
              </w:rPr>
              <w:t>研讨交流：结合总局提出的“权益保护更到位、个性服务更多元、数据赋能更有力”的工作目标，如何在当前新形势下抓好纳税服务工作。</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2" w:hRule="atLeast"/>
          <w:jc w:val="center"/>
        </w:trPr>
        <w:tc>
          <w:tcPr>
            <w:tcW w:w="1502" w:type="dxa"/>
            <w:vMerge w:val="restart"/>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.5天）</w:t>
            </w: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纳税服务中的执法风险与廉政风险防范</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2.</w:t>
            </w:r>
            <w:r>
              <w:rPr>
                <w:rFonts w:hint="eastAsia" w:ascii="仿宋" w:hAnsi="仿宋" w:eastAsia="仿宋" w:cs="仿宋"/>
                <w:sz w:val="24"/>
              </w:rPr>
              <w:t>办税服务厅常见突发事件应对实训</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模拟实训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纳税服务中的压力管理与心理调适</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互动式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4.</w:t>
            </w:r>
            <w:r>
              <w:rPr>
                <w:rFonts w:hint="eastAsia" w:ascii="仿宋" w:hAnsi="仿宋" w:eastAsia="仿宋" w:cs="仿宋"/>
                <w:sz w:val="24"/>
              </w:rPr>
              <w:t>破冰拓展训练</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highlight w:val="yellow"/>
              </w:rPr>
            </w:pPr>
            <w:r>
              <w:rPr>
                <w:rFonts w:hint="eastAsia" w:ascii="仿宋" w:hAnsi="仿宋" w:eastAsia="仿宋" w:cs="仿宋"/>
                <w:sz w:val="24"/>
              </w:rPr>
              <w:t>校内教师</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0" w:hRule="atLeast"/>
          <w:jc w:val="center"/>
        </w:trPr>
        <w:tc>
          <w:tcPr>
            <w:tcW w:w="1502" w:type="dxa"/>
            <w:vMerge w:val="continue"/>
            <w:vAlign w:val="center"/>
          </w:tcPr>
          <w:p>
            <w:pPr>
              <w:snapToGrid w:val="0"/>
              <w:spacing w:line="360" w:lineRule="auto"/>
              <w:jc w:val="center"/>
              <w:rPr>
                <w:rFonts w:hint="eastAsia" w:ascii="仿宋" w:hAnsi="仿宋" w:eastAsia="仿宋" w:cs="仿宋"/>
                <w:b/>
                <w:sz w:val="24"/>
              </w:rPr>
            </w:pPr>
          </w:p>
        </w:tc>
        <w:tc>
          <w:tcPr>
            <w:tcW w:w="3343" w:type="dxa"/>
            <w:vAlign w:val="center"/>
          </w:tcPr>
          <w:p>
            <w:pPr>
              <w:adjustRightInd w:val="0"/>
              <w:snapToGrid w:val="0"/>
              <w:ind w:right="-55"/>
              <w:jc w:val="left"/>
              <w:rPr>
                <w:rFonts w:hint="eastAsia" w:ascii="仿宋" w:hAnsi="仿宋" w:eastAsia="仿宋" w:cs="仿宋"/>
                <w:sz w:val="24"/>
              </w:rPr>
            </w:pPr>
            <w:r>
              <w:rPr>
                <w:rFonts w:hint="eastAsia" w:ascii="仿宋" w:hAnsi="仿宋" w:eastAsia="仿宋" w:cs="仿宋"/>
                <w:sz w:val="24"/>
              </w:rPr>
              <w:t>5.充分发挥税收在国家治理中的功能作用</w:t>
            </w:r>
          </w:p>
        </w:tc>
        <w:tc>
          <w:tcPr>
            <w:tcW w:w="1253"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0.5</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学习兴税-标课</w:t>
            </w:r>
          </w:p>
        </w:tc>
        <w:tc>
          <w:tcPr>
            <w:tcW w:w="1310" w:type="dxa"/>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1502"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非课程环节</w:t>
            </w:r>
          </w:p>
          <w:p>
            <w:pPr>
              <w:snapToGrid w:val="0"/>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天）</w:t>
            </w:r>
          </w:p>
        </w:tc>
        <w:tc>
          <w:tcPr>
            <w:tcW w:w="3343" w:type="dxa"/>
            <w:vAlign w:val="center"/>
          </w:tcPr>
          <w:p>
            <w:pPr>
              <w:adjustRightInd w:val="0"/>
              <w:snapToGrid w:val="0"/>
              <w:ind w:right="-55"/>
              <w:jc w:val="left"/>
              <w:rPr>
                <w:rFonts w:hint="eastAsia" w:ascii="仿宋" w:hAnsi="仿宋" w:eastAsia="仿宋" w:cs="仿宋"/>
                <w:sz w:val="24"/>
              </w:rPr>
            </w:pPr>
            <w:r>
              <w:rPr>
                <w:rFonts w:ascii="仿宋" w:hAnsi="仿宋" w:eastAsia="仿宋" w:cs="仿宋"/>
                <w:sz w:val="24"/>
              </w:rPr>
              <w:t>1.</w:t>
            </w:r>
            <w:r>
              <w:rPr>
                <w:rFonts w:hint="eastAsia" w:ascii="仿宋" w:hAnsi="仿宋" w:eastAsia="仿宋" w:cs="仿宋"/>
                <w:sz w:val="24"/>
              </w:rPr>
              <w:t>报到、返程</w:t>
            </w:r>
          </w:p>
        </w:tc>
        <w:tc>
          <w:tcPr>
            <w:tcW w:w="1253" w:type="dxa"/>
            <w:vAlign w:val="center"/>
          </w:tcPr>
          <w:p>
            <w:pPr>
              <w:adjustRightInd w:val="0"/>
              <w:snapToGrid w:val="0"/>
              <w:ind w:right="-55"/>
              <w:jc w:val="center"/>
              <w:rPr>
                <w:rFonts w:hint="eastAsia" w:ascii="仿宋" w:hAnsi="仿宋" w:eastAsia="仿宋" w:cs="仿宋"/>
                <w:sz w:val="24"/>
              </w:rPr>
            </w:pPr>
            <w:r>
              <w:rPr>
                <w:rFonts w:ascii="仿宋" w:hAnsi="仿宋" w:eastAsia="仿宋" w:cs="仿宋"/>
                <w:sz w:val="24"/>
              </w:rPr>
              <w:t>2.0</w:t>
            </w:r>
          </w:p>
        </w:tc>
        <w:tc>
          <w:tcPr>
            <w:tcW w:w="1242" w:type="dxa"/>
            <w:tcBorders>
              <w:right w:val="single" w:color="auto" w:sz="4" w:space="0"/>
            </w:tcBorders>
            <w:vAlign w:val="center"/>
          </w:tcPr>
          <w:p>
            <w:pPr>
              <w:adjustRightInd w:val="0"/>
              <w:snapToGrid w:val="0"/>
              <w:ind w:right="-55"/>
              <w:jc w:val="center"/>
              <w:rPr>
                <w:rFonts w:hint="eastAsia" w:ascii="仿宋" w:hAnsi="仿宋" w:eastAsia="仿宋" w:cs="仿宋"/>
                <w:sz w:val="24"/>
              </w:rPr>
            </w:pPr>
            <w:r>
              <w:rPr>
                <w:rFonts w:hint="eastAsia" w:ascii="仿宋" w:hAnsi="仿宋" w:eastAsia="仿宋" w:cs="仿宋"/>
                <w:sz w:val="24"/>
              </w:rPr>
              <w:t>总务处</w:t>
            </w:r>
          </w:p>
        </w:tc>
        <w:tc>
          <w:tcPr>
            <w:tcW w:w="1310" w:type="dxa"/>
            <w:vAlign w:val="center"/>
          </w:tcPr>
          <w:p>
            <w:pPr>
              <w:adjustRightInd w:val="0"/>
              <w:snapToGrid w:val="0"/>
              <w:ind w:right="-55"/>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845" w:type="dxa"/>
            <w:gridSpan w:val="2"/>
            <w:vAlign w:val="center"/>
          </w:tcPr>
          <w:p>
            <w:pPr>
              <w:adjustRightInd w:val="0"/>
              <w:snapToGrid w:val="0"/>
              <w:spacing w:line="360" w:lineRule="auto"/>
              <w:ind w:right="-55"/>
              <w:jc w:val="center"/>
              <w:rPr>
                <w:rFonts w:hint="eastAsia" w:ascii="仿宋" w:hAnsi="仿宋" w:eastAsia="仿宋" w:cs="仿宋"/>
                <w:b/>
                <w:sz w:val="24"/>
              </w:rPr>
            </w:pPr>
            <w:r>
              <w:rPr>
                <w:rFonts w:hint="eastAsia" w:ascii="仿宋" w:hAnsi="仿宋" w:eastAsia="仿宋" w:cs="仿宋"/>
                <w:b/>
                <w:sz w:val="24"/>
              </w:rPr>
              <w:t>合计</w:t>
            </w:r>
          </w:p>
        </w:tc>
        <w:tc>
          <w:tcPr>
            <w:tcW w:w="3805" w:type="dxa"/>
            <w:gridSpan w:val="3"/>
            <w:vAlign w:val="center"/>
          </w:tcPr>
          <w:p>
            <w:pPr>
              <w:snapToGrid w:val="0"/>
              <w:spacing w:line="360" w:lineRule="auto"/>
              <w:jc w:val="center"/>
              <w:rPr>
                <w:rFonts w:hint="eastAsia" w:ascii="仿宋" w:hAnsi="仿宋" w:eastAsia="仿宋" w:cs="仿宋"/>
                <w:sz w:val="24"/>
              </w:rPr>
            </w:pPr>
            <w:r>
              <w:rPr>
                <w:rFonts w:ascii="仿宋" w:hAnsi="仿宋" w:eastAsia="仿宋" w:cs="仿宋"/>
                <w:bCs/>
                <w:sz w:val="24"/>
              </w:rPr>
              <w:t>10</w:t>
            </w:r>
          </w:p>
        </w:tc>
      </w:tr>
    </w:tbl>
    <w:p>
      <w:pPr>
        <w:snapToGrid w:val="0"/>
        <w:spacing w:line="360" w:lineRule="auto"/>
        <w:ind w:firstLine="420" w:firstLineChars="2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C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2025-01-06T08:13:46Z</dcterms:created>
  <dc:creator>Administrator</dc:creator>
  <cp:lastModifiedBy>Administrator</cp:lastModifiedBy>
  <dcterms:modified xsi:type="dcterms:W3CDTF">2025-01-06T08:14:21Z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