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233"/>
        </w:tabs>
        <w:jc w:val="center"/>
        <w:rPr>
          <w:rFonts w:hint="eastAsia" w:ascii="黑体" w:hAnsi="黑体" w:eastAsia="黑体" w:cs="Times New Roman"/>
          <w:sz w:val="32"/>
          <w:szCs w:val="32"/>
        </w:rPr>
      </w:pPr>
      <w:bookmarkStart w:id="0" w:name="_GoBack"/>
      <w:r>
        <w:rPr>
          <w:rFonts w:hint="eastAsia" w:ascii="黑体" w:hAnsi="黑体" w:eastAsia="黑体" w:cs="Times New Roman"/>
          <w:sz w:val="32"/>
          <w:szCs w:val="32"/>
        </w:rPr>
        <w:t>税务稽查条线检查岗位培训班</w:t>
      </w:r>
    </w:p>
    <w:bookmarkEnd w:id="0"/>
    <w:p>
      <w:pPr>
        <w:tabs>
          <w:tab w:val="left" w:pos="3233"/>
        </w:tabs>
        <w:spacing w:after="156" w:afterLines="50"/>
        <w:jc w:val="center"/>
        <w:rPr>
          <w:rFonts w:hint="eastAsia" w:ascii="黑体" w:hAnsi="黑体" w:eastAsia="黑体" w:cs="Times New Roman"/>
          <w:sz w:val="32"/>
          <w:szCs w:val="32"/>
        </w:rPr>
      </w:pPr>
      <w:r>
        <w:rPr>
          <w:rFonts w:ascii="黑体" w:hAnsi="黑体" w:eastAsia="黑体" w:cs="Times New Roman"/>
          <w:sz w:val="32"/>
          <w:szCs w:val="32"/>
        </w:rPr>
        <w:t>项目计划书</w:t>
      </w:r>
    </w:p>
    <w:p>
      <w:pPr>
        <w:adjustRightInd w:val="0"/>
        <w:snapToGrid w:val="0"/>
        <w:spacing w:line="360" w:lineRule="auto"/>
        <w:ind w:firstLine="560" w:firstLineChars="200"/>
        <w:rPr>
          <w:rFonts w:hint="eastAsia" w:ascii="仿宋" w:hAnsi="仿宋" w:eastAsia="仿宋" w:cs="仿宋"/>
          <w:b/>
          <w:sz w:val="28"/>
          <w:szCs w:val="28"/>
        </w:rPr>
      </w:pPr>
      <w:r>
        <w:rPr>
          <w:rFonts w:hint="eastAsia" w:ascii="仿宋" w:hAnsi="仿宋" w:eastAsia="仿宋" w:cs="仿宋"/>
          <w:bCs/>
          <w:sz w:val="28"/>
          <w:szCs w:val="28"/>
        </w:rPr>
        <w:t>为大力推进税收治理体系和治理能力现代化，发挥好稽查打击涉税违法、维护税收安全、促进税收治理、防范重大风险的作用，切实提升稽查工作质效，推进效能税务建设。按照懂征管、熟政策、通法律、能查账、善执法、会总结的能文能武标准，培育优秀税务稽查干部，打造忠诚干净担当的稽查铁军，策划此项目。</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一、培训对象</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税务稽查检查岗位税务干部</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二、培训目标</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本项目围绕当前和今后一个时期稽查工作最新的纲领性要求，全面介绍如何规范税务稽查检查工作，使参训学员全面掌握税务稽查检查岗位主要工作流程及各业务环节风险管控要点。在此基础上深入讲解检查过程中证据的提取与应用，帮助参训学员提升稽查检查能力和风险应对能力。通过“讲授+案例+实战”式等综合教学方法，帮助学员提升本岗位工作技能，提升税收监管的精准度与风险识别能力，更好解决税务稽查领域突出问题，更好发挥税务稽查作为最后一道防线在查处、震慑、促管、增收等方面的职能作用，服务经济社会高质量发展。</w:t>
      </w:r>
    </w:p>
    <w:p>
      <w:p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三、培训时间</w:t>
      </w:r>
    </w:p>
    <w:p>
      <w:pPr>
        <w:adjustRightInd w:val="0"/>
        <w:snapToGrid w:val="0"/>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在校培训时间共8天，其中课程环节6天，非课程环节2天。</w:t>
      </w:r>
    </w:p>
    <w:p>
      <w:pPr>
        <w:numPr>
          <w:ilvl w:val="0"/>
          <w:numId w:val="1"/>
        </w:numPr>
        <w:adjustRightInd w:val="0"/>
        <w:snapToGrid w:val="0"/>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课程设置</w:t>
      </w:r>
    </w:p>
    <w:tbl>
      <w:tblPr>
        <w:tblStyle w:val="2"/>
        <w:tblW w:w="8685"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3308"/>
        <w:gridCol w:w="1254"/>
        <w:gridCol w:w="1361"/>
        <w:gridCol w:w="13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1437"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模 块</w:t>
            </w:r>
          </w:p>
        </w:tc>
        <w:tc>
          <w:tcPr>
            <w:tcW w:w="3308"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254"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课时（天）</w:t>
            </w:r>
          </w:p>
        </w:tc>
        <w:tc>
          <w:tcPr>
            <w:tcW w:w="1361"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325" w:type="dxa"/>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437" w:type="dxa"/>
            <w:vMerge w:val="restart"/>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党的理论与党性教育</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（1天）</w:t>
            </w:r>
          </w:p>
        </w:tc>
        <w:tc>
          <w:tcPr>
            <w:tcW w:w="3308" w:type="dxa"/>
            <w:tcBorders>
              <w:tl2br w:val="nil"/>
              <w:tr2bl w:val="nil"/>
            </w:tcBorders>
            <w:vAlign w:val="center"/>
          </w:tcPr>
          <w:p>
            <w:pPr>
              <w:snapToGrid w:val="0"/>
              <w:spacing w:line="360" w:lineRule="exact"/>
              <w:rPr>
                <w:rFonts w:hint="eastAsia" w:ascii="仿宋_GB2312" w:hAnsi="仿宋" w:eastAsia="仿宋_GB2312" w:cs="仿宋"/>
                <w:sz w:val="24"/>
              </w:rPr>
            </w:pPr>
            <w:r>
              <w:rPr>
                <w:rFonts w:hint="eastAsia" w:ascii="仿宋_GB2312" w:hAnsi="仿宋" w:eastAsia="仿宋_GB2312" w:cs="仿宋"/>
                <w:sz w:val="24"/>
              </w:rPr>
              <w:t>1.党的理论与党性教育相关课程</w:t>
            </w:r>
          </w:p>
        </w:tc>
        <w:tc>
          <w:tcPr>
            <w:tcW w:w="1254"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vAlign w:val="center"/>
          </w:tcPr>
          <w:p>
            <w:pPr>
              <w:snapToGrid w:val="0"/>
              <w:spacing w:line="380" w:lineRule="exact"/>
              <w:rPr>
                <w:rFonts w:hint="eastAsia" w:ascii="仿宋" w:hAnsi="仿宋" w:eastAsia="仿宋" w:cs="Times New Roman"/>
                <w:color w:val="000000"/>
                <w:sz w:val="24"/>
              </w:rPr>
            </w:pPr>
            <w:r>
              <w:rPr>
                <w:rFonts w:hint="eastAsia" w:ascii="仿宋" w:hAnsi="仿宋" w:eastAsia="仿宋" w:cs="Times New Roman"/>
                <w:color w:val="000000"/>
                <w:sz w:val="24"/>
              </w:rPr>
              <w:t>2.主题党日活动</w:t>
            </w:r>
          </w:p>
        </w:tc>
        <w:tc>
          <w:tcPr>
            <w:tcW w:w="1254"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437" w:type="dxa"/>
            <w:vMerge w:val="restart"/>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（2.5天）</w:t>
            </w:r>
          </w:p>
        </w:tc>
        <w:tc>
          <w:tcPr>
            <w:tcW w:w="3308" w:type="dxa"/>
            <w:tcBorders>
              <w:tl2br w:val="nil"/>
              <w:tr2bl w:val="nil"/>
            </w:tcBorders>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1.税务稽查检查工作规范及风险管控</w:t>
            </w:r>
          </w:p>
        </w:tc>
        <w:tc>
          <w:tcPr>
            <w:tcW w:w="1254"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1</w:t>
            </w:r>
          </w:p>
        </w:tc>
        <w:tc>
          <w:tcPr>
            <w:tcW w:w="136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42"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2.货物劳务税检查及取证要点</w:t>
            </w:r>
          </w:p>
        </w:tc>
        <w:tc>
          <w:tcPr>
            <w:tcW w:w="1254"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shd w:val="clear" w:color="auto" w:fill="auto"/>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3.所得税检查及取证要点</w:t>
            </w:r>
          </w:p>
        </w:tc>
        <w:tc>
          <w:tcPr>
            <w:tcW w:w="1254"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4.税务稽查证据提取与应用实务</w:t>
            </w:r>
          </w:p>
        </w:tc>
        <w:tc>
          <w:tcPr>
            <w:tcW w:w="1254"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37" w:type="dxa"/>
            <w:vMerge w:val="restart"/>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相关业务</w:t>
            </w:r>
          </w:p>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( 2.5天)</w:t>
            </w:r>
          </w:p>
        </w:tc>
        <w:tc>
          <w:tcPr>
            <w:tcW w:w="330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1.税务稽查文书写作实训</w:t>
            </w:r>
          </w:p>
        </w:tc>
        <w:tc>
          <w:tcPr>
            <w:tcW w:w="1254"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外聘教师</w:t>
            </w:r>
          </w:p>
        </w:tc>
        <w:tc>
          <w:tcPr>
            <w:tcW w:w="132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实训式</w:t>
            </w:r>
          </w:p>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2.信息化战法下的税务稽查执法场景实训（查账分析）</w:t>
            </w:r>
          </w:p>
        </w:tc>
        <w:tc>
          <w:tcPr>
            <w:tcW w:w="1254"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实训式</w:t>
            </w:r>
          </w:p>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3.税务稽查典型案例实战演练</w:t>
            </w:r>
          </w:p>
        </w:tc>
        <w:tc>
          <w:tcPr>
            <w:tcW w:w="1254"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实训式</w:t>
            </w:r>
          </w:p>
          <w:p>
            <w:pPr>
              <w:snapToGrid w:val="0"/>
              <w:spacing w:line="380" w:lineRule="exact"/>
              <w:jc w:val="center"/>
              <w:rPr>
                <w:rFonts w:hint="eastAsia" w:ascii="仿宋" w:hAnsi="仿宋" w:eastAsia="仿宋" w:cs="仿宋"/>
                <w:sz w:val="24"/>
              </w:rPr>
            </w:pPr>
            <w:r>
              <w:rPr>
                <w:rFonts w:hint="eastAsia" w:ascii="仿宋" w:hAnsi="仿宋" w:eastAsia="仿宋" w:cs="仿宋"/>
                <w:sz w:val="24"/>
              </w:rPr>
              <w:t>案例式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vAlign w:val="center"/>
          </w:tcPr>
          <w:p>
            <w:pPr>
              <w:snapToGrid w:val="0"/>
              <w:spacing w:line="380" w:lineRule="exact"/>
              <w:rPr>
                <w:rFonts w:hint="eastAsia" w:ascii="仿宋" w:hAnsi="仿宋" w:eastAsia="仿宋" w:cs="仿宋"/>
                <w:sz w:val="24"/>
              </w:rPr>
            </w:pPr>
            <w:r>
              <w:rPr>
                <w:rFonts w:hint="eastAsia" w:ascii="仿宋" w:hAnsi="仿宋" w:eastAsia="仿宋" w:cs="仿宋"/>
                <w:sz w:val="24"/>
              </w:rPr>
              <w:t>4.研讨交流：税务稽查案件检查的重点难点</w:t>
            </w:r>
          </w:p>
        </w:tc>
        <w:tc>
          <w:tcPr>
            <w:tcW w:w="1254"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校内教师</w:t>
            </w:r>
          </w:p>
        </w:tc>
        <w:tc>
          <w:tcPr>
            <w:tcW w:w="1325"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37" w:type="dxa"/>
            <w:vMerge w:val="continue"/>
            <w:tcBorders>
              <w:tl2br w:val="nil"/>
              <w:tr2bl w:val="nil"/>
            </w:tcBorders>
            <w:vAlign w:val="center"/>
          </w:tcPr>
          <w:p>
            <w:pPr>
              <w:snapToGrid w:val="0"/>
              <w:spacing w:line="380" w:lineRule="exact"/>
              <w:jc w:val="center"/>
              <w:rPr>
                <w:rFonts w:hint="eastAsia" w:ascii="仿宋" w:hAnsi="仿宋" w:eastAsia="仿宋" w:cs="仿宋"/>
                <w:b/>
                <w:sz w:val="24"/>
              </w:rPr>
            </w:pPr>
          </w:p>
        </w:tc>
        <w:tc>
          <w:tcPr>
            <w:tcW w:w="3308" w:type="dxa"/>
            <w:tcBorders>
              <w:tl2br w:val="nil"/>
              <w:tr2bl w:val="nil"/>
            </w:tcBorders>
            <w:vAlign w:val="center"/>
          </w:tcPr>
          <w:p>
            <w:pPr>
              <w:tabs>
                <w:tab w:val="left" w:pos="355"/>
              </w:tabs>
              <w:snapToGrid w:val="0"/>
              <w:spacing w:line="380" w:lineRule="exact"/>
              <w:rPr>
                <w:rFonts w:hint="eastAsia" w:ascii="仿宋" w:hAnsi="仿宋" w:eastAsia="仿宋" w:cs="仿宋"/>
                <w:sz w:val="24"/>
              </w:rPr>
            </w:pPr>
            <w:r>
              <w:rPr>
                <w:rFonts w:hint="eastAsia" w:ascii="仿宋" w:hAnsi="仿宋" w:eastAsia="仿宋" w:cs="仿宋"/>
                <w:sz w:val="24"/>
              </w:rPr>
              <w:t>5.研发费用加计扣除检查和取证要点</w:t>
            </w:r>
          </w:p>
        </w:tc>
        <w:tc>
          <w:tcPr>
            <w:tcW w:w="1254" w:type="dxa"/>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0.5</w:t>
            </w:r>
          </w:p>
        </w:tc>
        <w:tc>
          <w:tcPr>
            <w:tcW w:w="1361"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学习兴税——标课</w:t>
            </w:r>
          </w:p>
        </w:tc>
        <w:tc>
          <w:tcPr>
            <w:tcW w:w="1325" w:type="dxa"/>
            <w:tcBorders>
              <w:tl2br w:val="nil"/>
              <w:tr2bl w:val="nil"/>
            </w:tcBorders>
            <w:shd w:val="clear" w:color="auto" w:fill="auto"/>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232" w:hRule="atLeast"/>
          <w:jc w:val="center"/>
        </w:trPr>
        <w:tc>
          <w:tcPr>
            <w:tcW w:w="1437" w:type="dxa"/>
            <w:tcBorders>
              <w:tl2br w:val="nil"/>
              <w:tr2bl w:val="nil"/>
            </w:tcBorders>
            <w:shd w:val="clear" w:color="auto" w:fill="auto"/>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非课程环节（2天）</w:t>
            </w:r>
          </w:p>
        </w:tc>
        <w:tc>
          <w:tcPr>
            <w:tcW w:w="3308" w:type="dxa"/>
            <w:tcBorders>
              <w:tl2br w:val="nil"/>
              <w:tr2bl w:val="nil"/>
            </w:tcBorders>
            <w:shd w:val="clear" w:color="auto" w:fill="auto"/>
            <w:vAlign w:val="center"/>
          </w:tcPr>
          <w:p>
            <w:pPr>
              <w:snapToGrid w:val="0"/>
              <w:spacing w:line="360" w:lineRule="exact"/>
              <w:rPr>
                <w:rFonts w:hint="eastAsia" w:ascii="仿宋" w:hAnsi="仿宋" w:eastAsia="仿宋"/>
                <w:sz w:val="24"/>
              </w:rPr>
            </w:pPr>
            <w:r>
              <w:rPr>
                <w:rFonts w:hint="eastAsia" w:ascii="仿宋" w:hAnsi="仿宋" w:eastAsia="仿宋"/>
                <w:sz w:val="24"/>
              </w:rPr>
              <w:t>1.报到、返程</w:t>
            </w:r>
          </w:p>
        </w:tc>
        <w:tc>
          <w:tcPr>
            <w:tcW w:w="1254" w:type="dxa"/>
            <w:tcBorders>
              <w:tl2br w:val="nil"/>
              <w:tr2bl w:val="nil"/>
            </w:tcBorders>
            <w:shd w:val="clear" w:color="auto" w:fill="auto"/>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361" w:type="dxa"/>
            <w:tcBorders>
              <w:tl2br w:val="nil"/>
              <w:tr2bl w:val="nil"/>
            </w:tcBorders>
            <w:shd w:val="clear" w:color="auto" w:fill="auto"/>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325" w:type="dxa"/>
            <w:tcBorders>
              <w:tl2br w:val="nil"/>
              <w:tr2bl w:val="nil"/>
            </w:tcBorders>
            <w:vAlign w:val="center"/>
          </w:tcPr>
          <w:p>
            <w:pPr>
              <w:snapToGrid w:val="0"/>
              <w:spacing w:line="38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745" w:type="dxa"/>
            <w:gridSpan w:val="2"/>
            <w:tcBorders>
              <w:tl2br w:val="nil"/>
              <w:tr2bl w:val="nil"/>
            </w:tcBorders>
            <w:vAlign w:val="center"/>
          </w:tcPr>
          <w:p>
            <w:pPr>
              <w:snapToGrid w:val="0"/>
              <w:spacing w:line="380" w:lineRule="exact"/>
              <w:jc w:val="center"/>
              <w:rPr>
                <w:rFonts w:hint="eastAsia" w:ascii="仿宋" w:hAnsi="仿宋" w:eastAsia="仿宋" w:cs="仿宋"/>
                <w:b/>
                <w:sz w:val="24"/>
              </w:rPr>
            </w:pPr>
            <w:r>
              <w:rPr>
                <w:rFonts w:hint="eastAsia" w:ascii="仿宋" w:hAnsi="仿宋" w:eastAsia="仿宋" w:cs="仿宋"/>
                <w:b/>
                <w:sz w:val="24"/>
              </w:rPr>
              <w:t>合   计</w:t>
            </w:r>
          </w:p>
        </w:tc>
        <w:tc>
          <w:tcPr>
            <w:tcW w:w="3940" w:type="dxa"/>
            <w:gridSpan w:val="3"/>
            <w:tcBorders>
              <w:tl2br w:val="nil"/>
              <w:tr2bl w:val="nil"/>
            </w:tcBorders>
            <w:vAlign w:val="center"/>
          </w:tcPr>
          <w:p>
            <w:pPr>
              <w:snapToGrid w:val="0"/>
              <w:spacing w:line="380" w:lineRule="exact"/>
              <w:jc w:val="center"/>
              <w:rPr>
                <w:rFonts w:hint="eastAsia" w:ascii="仿宋" w:hAnsi="仿宋" w:eastAsia="仿宋" w:cs="仿宋"/>
                <w:sz w:val="24"/>
              </w:rPr>
            </w:pPr>
            <w:r>
              <w:rPr>
                <w:rFonts w:hint="eastAsia" w:ascii="仿宋" w:hAnsi="仿宋" w:eastAsia="仿宋" w:cs="仿宋"/>
                <w:sz w:val="24"/>
              </w:rPr>
              <w:t>8</w:t>
            </w:r>
          </w:p>
        </w:tc>
      </w:tr>
    </w:tbl>
    <w:p/>
    <w:p>
      <w:pPr>
        <w:rPr>
          <w:rFonts w:hint="eastAsia" w:ascii="黑体" w:hAnsi="黑体" w:eastAsia="黑体" w:cs="Times New Roman"/>
          <w:sz w:val="32"/>
          <w:szCs w:val="32"/>
        </w:rPr>
      </w:pPr>
      <w:r>
        <w:rPr>
          <w:rFonts w:hint="eastAsia" w:ascii="黑体" w:hAnsi="黑体" w:eastAsia="黑体" w:cs="Times New Roman"/>
          <w:sz w:val="32"/>
          <w:szCs w:val="32"/>
        </w:rPr>
        <w:br w:type="page"/>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F17EB"/>
    <w:multiLevelType w:val="singleLevel"/>
    <w:tmpl w:val="029F17E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45A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2025-01-06T07:46:37Z</dcterms:created>
  <dc:creator>Administrator</dc:creator>
  <cp:lastModifiedBy>Administrator</cp:lastModifiedBy>
  <dcterms:modified xsi:type="dcterms:W3CDTF">2025-01-06T07:46:55Z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