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宋体"/>
          <w:bCs/>
          <w:sz w:val="32"/>
          <w:szCs w:val="32"/>
        </w:rPr>
      </w:pPr>
      <w:bookmarkStart w:id="0" w:name="_GoBack"/>
      <w:r>
        <w:rPr>
          <w:rFonts w:hint="eastAsia" w:ascii="黑体" w:hAnsi="黑体" w:eastAsia="黑体" w:cs="宋体"/>
          <w:bCs/>
          <w:sz w:val="32"/>
          <w:szCs w:val="32"/>
        </w:rPr>
        <w:t>重点行业领域（平台经济、网络直播、白酒、医药、成品油等）典型案例分享与办案能力提升培训班</w:t>
      </w:r>
    </w:p>
    <w:bookmarkEnd w:id="0"/>
    <w:p>
      <w:pPr>
        <w:adjustRightInd w:val="0"/>
        <w:snapToGrid w:val="0"/>
        <w:spacing w:line="240" w:lineRule="exact"/>
        <w:ind w:firstLine="560" w:firstLineChars="200"/>
        <w:rPr>
          <w:rFonts w:hint="eastAsia" w:ascii="仿宋" w:hAnsi="仿宋" w:eastAsia="仿宋" w:cs="仿宋"/>
          <w:bCs/>
          <w:sz w:val="28"/>
          <w:szCs w:val="28"/>
        </w:rPr>
      </w:pP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当前经济环境下，平台经济、网络直播、白酒、医药、成品油等行业在国民经济中占据重要地位，但同时也面临着一些不法分子利用各种手段进行偷逃税等违法犯罪行为，严重影响了国家税收收入和经济秩序。这些行业中出现了越来越多的团伙作案，他们通过复杂的手段构建违法链条，增加了税务稽查的难度。为了有效打击违法犯罪行为，提高税收执法效率，对税务稽查人员的专业能力和综合素质提出了更高的要求。基于税务干部的实际需求，开发本培训项目。</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风险管理、稽查岗位税务干部</w:t>
      </w:r>
    </w:p>
    <w:p>
      <w:pPr>
        <w:adjustRightInd w:val="0"/>
        <w:snapToGrid w:val="0"/>
        <w:spacing w:line="360" w:lineRule="auto"/>
        <w:ind w:firstLine="562" w:firstLineChars="200"/>
        <w:rPr>
          <w:rFonts w:hint="eastAsia" w:ascii="仿宋" w:hAnsi="仿宋" w:eastAsia="仿宋" w:cs="仿宋"/>
          <w:b/>
          <w:sz w:val="24"/>
        </w:rPr>
      </w:pPr>
      <w:r>
        <w:rPr>
          <w:rFonts w:hint="eastAsia" w:ascii="仿宋" w:hAnsi="仿宋" w:eastAsia="仿宋" w:cs="仿宋"/>
          <w:b/>
          <w:sz w:val="28"/>
          <w:szCs w:val="28"/>
        </w:rPr>
        <w:t>二、培训目标</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培训，达到以下四方面的培训效果。一是提升专业能力：使税务稽查人员深入了解重点行业的特点和税收风险点，掌握相关的税务稽查方法和技巧，提高专业水平；二是增强团队协作：通过培训促进税务稽查人员之间的交流与合作，提高团队协作能力，更好地应对团伙链条式的违法犯罪行为；三是提高执法效率：培养税务稽查人员的敏锐洞察力和高效执行力，能够快速准确地发现问题、固定证据，提高税务稽查的效率和质量；四是维护税收秩序：通过提升税务稽查能力，有效打击偷逃税等违法犯罪行为，维护国家税收秩序和经济安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在校培训时间共9天，其中课程环节7天，非课程环节2天。</w:t>
      </w:r>
    </w:p>
    <w:p>
      <w:pPr>
        <w:numPr>
          <w:ilvl w:val="0"/>
          <w:numId w:val="1"/>
        </w:num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课程设置</w:t>
      </w: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tbl>
      <w:tblPr>
        <w:tblStyle w:val="2"/>
        <w:tblW w:w="87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0"/>
        <w:gridCol w:w="3708"/>
        <w:gridCol w:w="1190"/>
        <w:gridCol w:w="1189"/>
        <w:gridCol w:w="12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1480" w:type="dxa"/>
            <w:tcBorders>
              <w:top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模 块</w:t>
            </w:r>
          </w:p>
        </w:tc>
        <w:tc>
          <w:tcPr>
            <w:tcW w:w="3708" w:type="dxa"/>
            <w:tcBorders>
              <w:top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190" w:type="dxa"/>
            <w:tcBorders>
              <w:top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课时（天）</w:t>
            </w:r>
          </w:p>
        </w:tc>
        <w:tc>
          <w:tcPr>
            <w:tcW w:w="1189" w:type="dxa"/>
            <w:tcBorders>
              <w:top w:val="single" w:color="auto" w:sz="12" w:space="0"/>
              <w:right w:val="single" w:color="auto" w:sz="4"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213" w:type="dxa"/>
            <w:tcBorders>
              <w:top w:val="single" w:color="auto" w:sz="12" w:space="0"/>
              <w:right w:val="single" w:color="auto" w:sz="12" w:space="0"/>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9" w:hRule="atLeast"/>
          <w:jc w:val="center"/>
        </w:trPr>
        <w:tc>
          <w:tcPr>
            <w:tcW w:w="1480" w:type="dxa"/>
            <w:vMerge w:val="restart"/>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（1.5天）</w:t>
            </w:r>
          </w:p>
        </w:tc>
        <w:tc>
          <w:tcPr>
            <w:tcW w:w="3708" w:type="dxa"/>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w:t>
            </w:r>
            <w:r>
              <w:rPr>
                <w:rFonts w:hint="eastAsia" w:ascii="仿宋_GB2312" w:hAnsi="仿宋" w:eastAsia="仿宋_GB2312" w:cs="仿宋"/>
                <w:sz w:val="24"/>
              </w:rPr>
              <w:t>党的理论与党性教育相关课程</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13" w:type="dxa"/>
            <w:tcBorders>
              <w:top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continue"/>
            <w:vAlign w:val="center"/>
          </w:tcPr>
          <w:p>
            <w:pPr>
              <w:snapToGrid w:val="0"/>
              <w:spacing w:line="380" w:lineRule="exact"/>
              <w:jc w:val="center"/>
              <w:rPr>
                <w:rFonts w:hint="eastAsia" w:ascii="仿宋" w:hAnsi="仿宋" w:eastAsia="仿宋" w:cs="仿宋"/>
                <w:b/>
                <w:sz w:val="24"/>
              </w:rPr>
            </w:pPr>
          </w:p>
        </w:tc>
        <w:tc>
          <w:tcPr>
            <w:tcW w:w="3708" w:type="dxa"/>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2.主题党日活动</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restart"/>
            <w:vAlign w:val="center"/>
          </w:tcPr>
          <w:p>
            <w:pPr>
              <w:snapToGrid w:val="0"/>
              <w:spacing w:line="380" w:lineRule="exact"/>
              <w:jc w:val="center"/>
              <w:rPr>
                <w:rFonts w:hint="eastAsia" w:ascii="仿宋" w:hAnsi="仿宋" w:eastAsia="仿宋" w:cs="仿宋"/>
                <w:b/>
                <w:sz w:val="24"/>
              </w:rPr>
            </w:pPr>
            <w:r>
              <w:rPr>
                <w:rFonts w:hint="eastAsia" w:eastAsia="仿宋" w:cs="仿宋" w:asciiTheme="minorEastAsia" w:hAnsiTheme="minorEastAsia"/>
                <w:b/>
                <w:sz w:val="24"/>
              </w:rPr>
              <w:t>核心业务</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（4.5天)</w:t>
            </w: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1.白酒行业链条下风险指标构建、税务稽查典型案例剖析</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continue"/>
            <w:vAlign w:val="center"/>
          </w:tcPr>
          <w:p>
            <w:pPr>
              <w:snapToGrid w:val="0"/>
              <w:spacing w:line="380" w:lineRule="exact"/>
              <w:jc w:val="center"/>
              <w:rPr>
                <w:rFonts w:hint="eastAsia" w:ascii="仿宋" w:hAnsi="仿宋" w:eastAsia="仿宋" w:cs="仿宋"/>
                <w:b/>
                <w:sz w:val="24"/>
              </w:rPr>
            </w:pP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2.医药行业链条下风险指标构建、税务稽查典型案例剖析</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continue"/>
            <w:vAlign w:val="center"/>
          </w:tcPr>
          <w:p>
            <w:pPr>
              <w:snapToGrid w:val="0"/>
              <w:spacing w:line="380" w:lineRule="exact"/>
              <w:jc w:val="center"/>
              <w:rPr>
                <w:rFonts w:hint="eastAsia" w:ascii="仿宋" w:hAnsi="仿宋" w:eastAsia="仿宋" w:cs="仿宋"/>
                <w:b/>
                <w:sz w:val="24"/>
              </w:rPr>
            </w:pP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3.成品油行业链条下风险指标构建、税务稽查典型案例剖析</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continue"/>
            <w:vAlign w:val="center"/>
          </w:tcPr>
          <w:p>
            <w:pPr>
              <w:snapToGrid w:val="0"/>
              <w:spacing w:line="380" w:lineRule="exact"/>
              <w:jc w:val="center"/>
              <w:rPr>
                <w:rFonts w:hint="eastAsia" w:ascii="仿宋" w:hAnsi="仿宋" w:eastAsia="仿宋" w:cs="仿宋"/>
                <w:b/>
                <w:sz w:val="24"/>
              </w:rPr>
            </w:pP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4.平台企业链条下风险指标构建、税务稽查典型案例剖析</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continue"/>
            <w:vAlign w:val="center"/>
          </w:tcPr>
          <w:p>
            <w:pPr>
              <w:snapToGrid w:val="0"/>
              <w:spacing w:line="380" w:lineRule="exact"/>
              <w:jc w:val="center"/>
              <w:rPr>
                <w:rFonts w:hint="eastAsia" w:ascii="仿宋" w:hAnsi="仿宋" w:eastAsia="仿宋" w:cs="仿宋"/>
                <w:b/>
                <w:sz w:val="24"/>
              </w:rPr>
            </w:pP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5.网络直播税务稽查典型案例剖析</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continue"/>
            <w:vAlign w:val="center"/>
          </w:tcPr>
          <w:p>
            <w:pPr>
              <w:snapToGrid w:val="0"/>
              <w:spacing w:line="380" w:lineRule="exact"/>
              <w:jc w:val="center"/>
              <w:rPr>
                <w:rFonts w:hint="eastAsia" w:ascii="仿宋" w:hAnsi="仿宋" w:eastAsia="仿宋" w:cs="仿宋"/>
                <w:b/>
                <w:sz w:val="24"/>
              </w:rPr>
            </w:pP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6.汽车、电子设备制造行业税务稽查典型案例剖析</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restart"/>
            <w:vAlign w:val="center"/>
          </w:tcPr>
          <w:p>
            <w:pPr>
              <w:snapToGrid w:val="0"/>
              <w:spacing w:line="380" w:lineRule="exact"/>
              <w:jc w:val="center"/>
              <w:rPr>
                <w:rFonts w:hint="eastAsia" w:eastAsia="仿宋" w:cs="仿宋" w:asciiTheme="minorEastAsia" w:hAnsiTheme="minorEastAsia"/>
                <w:b/>
                <w:sz w:val="24"/>
              </w:rPr>
            </w:pPr>
            <w:r>
              <w:rPr>
                <w:rFonts w:hint="eastAsia" w:eastAsia="仿宋" w:cs="仿宋" w:asciiTheme="minorEastAsia" w:hAnsiTheme="minorEastAsia"/>
                <w:b/>
                <w:sz w:val="24"/>
              </w:rPr>
              <w:t>相关业务</w:t>
            </w:r>
          </w:p>
          <w:p>
            <w:pPr>
              <w:snapToGrid w:val="0"/>
              <w:spacing w:line="380" w:lineRule="exact"/>
              <w:jc w:val="center"/>
              <w:rPr>
                <w:rFonts w:hint="eastAsia" w:ascii="仿宋" w:hAnsi="仿宋" w:eastAsia="仿宋" w:cs="仿宋"/>
                <w:b/>
                <w:sz w:val="24"/>
              </w:rPr>
            </w:pPr>
            <w:r>
              <w:rPr>
                <w:rFonts w:hint="eastAsia" w:eastAsia="仿宋" w:cs="仿宋" w:asciiTheme="minorEastAsia" w:hAnsiTheme="minorEastAsia"/>
                <w:b/>
                <w:sz w:val="24"/>
              </w:rPr>
              <w:t>（1天）</w:t>
            </w: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1.新型业务模式下团伙虚开风险识别及应对</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Merge w:val="continue"/>
            <w:vAlign w:val="center"/>
          </w:tcPr>
          <w:p>
            <w:pPr>
              <w:snapToGrid w:val="0"/>
              <w:spacing w:line="380" w:lineRule="exact"/>
              <w:jc w:val="center"/>
              <w:rPr>
                <w:rFonts w:hint="eastAsia" w:ascii="仿宋" w:hAnsi="仿宋" w:eastAsia="仿宋" w:cs="仿宋"/>
                <w:b/>
                <w:sz w:val="24"/>
              </w:rPr>
            </w:pP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2.研讨交流——白酒、医药、成品油等行业涉税风险及税务稽查难点</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189" w:type="dxa"/>
            <w:tcBorders>
              <w:right w:val="single" w:color="auto" w:sz="4"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jc w:val="center"/>
        </w:trPr>
        <w:tc>
          <w:tcPr>
            <w:tcW w:w="1480" w:type="dxa"/>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非课程环节</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（2天）</w:t>
            </w:r>
          </w:p>
        </w:tc>
        <w:tc>
          <w:tcPr>
            <w:tcW w:w="3708" w:type="dxa"/>
            <w:vAlign w:val="center"/>
          </w:tcPr>
          <w:p>
            <w:pPr>
              <w:snapToGrid w:val="0"/>
              <w:spacing w:line="380" w:lineRule="exact"/>
              <w:jc w:val="left"/>
              <w:rPr>
                <w:rFonts w:hint="eastAsia" w:ascii="仿宋" w:hAnsi="仿宋" w:eastAsia="仿宋" w:cs="仿宋"/>
                <w:sz w:val="24"/>
              </w:rPr>
            </w:pPr>
            <w:r>
              <w:rPr>
                <w:rFonts w:hint="eastAsia" w:ascii="仿宋" w:hAnsi="仿宋" w:eastAsia="仿宋" w:cs="仿宋"/>
                <w:sz w:val="24"/>
              </w:rPr>
              <w:t>1.报到、返程</w:t>
            </w:r>
          </w:p>
        </w:tc>
        <w:tc>
          <w:tcPr>
            <w:tcW w:w="1190" w:type="dxa"/>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2</w:t>
            </w:r>
          </w:p>
        </w:tc>
        <w:tc>
          <w:tcPr>
            <w:tcW w:w="1189" w:type="dxa"/>
            <w:tcBorders>
              <w:right w:val="single" w:color="auto" w:sz="4" w:space="0"/>
            </w:tcBorders>
            <w:vAlign w:val="center"/>
          </w:tcPr>
          <w:p>
            <w:pPr>
              <w:jc w:val="center"/>
              <w:rPr>
                <w:rFonts w:hint="eastAsia" w:ascii="仿宋" w:hAnsi="仿宋" w:eastAsia="仿宋" w:cs="仿宋"/>
                <w:sz w:val="24"/>
              </w:rPr>
            </w:pPr>
            <w:r>
              <w:rPr>
                <w:rFonts w:hint="eastAsia" w:ascii="仿宋" w:hAnsi="仿宋" w:eastAsia="仿宋" w:cs="仿宋"/>
                <w:sz w:val="24"/>
              </w:rPr>
              <w:t>总务处</w:t>
            </w:r>
          </w:p>
        </w:tc>
        <w:tc>
          <w:tcPr>
            <w:tcW w:w="1213" w:type="dxa"/>
            <w:tcBorders>
              <w:top w:val="single" w:color="auto" w:sz="6" w:space="0"/>
              <w:bottom w:val="single" w:color="auto" w:sz="6" w:space="0"/>
              <w:right w:val="single" w:color="auto" w:sz="12" w:space="0"/>
            </w:tcBorders>
            <w:vAlign w:val="center"/>
          </w:tcPr>
          <w:p>
            <w:pPr>
              <w:snapToGrid w:val="0"/>
              <w:spacing w:line="38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0" w:hRule="atLeast"/>
          <w:jc w:val="center"/>
        </w:trPr>
        <w:tc>
          <w:tcPr>
            <w:tcW w:w="5188" w:type="dxa"/>
            <w:gridSpan w:val="2"/>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b/>
                <w:bCs/>
                <w:sz w:val="24"/>
              </w:rPr>
              <w:t>合计</w:t>
            </w:r>
          </w:p>
        </w:tc>
        <w:tc>
          <w:tcPr>
            <w:tcW w:w="3592" w:type="dxa"/>
            <w:gridSpan w:val="3"/>
            <w:tcBorders>
              <w:right w:val="single" w:color="auto" w:sz="12" w:space="0"/>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9</w:t>
            </w:r>
          </w:p>
        </w:tc>
      </w:tr>
    </w:tbl>
    <w:p/>
    <w:p>
      <w:pPr>
        <w:rPr>
          <w:rFonts w:hint="eastAsia" w:ascii="黑体" w:hAnsi="黑体" w:eastAsia="黑体" w:cs="Times New Roman"/>
          <w:sz w:val="32"/>
          <w:szCs w:val="32"/>
        </w:rPr>
      </w:pPr>
      <w:r>
        <w:rPr>
          <w:rFonts w:hint="eastAsia" w:ascii="黑体" w:hAnsi="黑体" w:eastAsia="黑体" w:cs="Times New Roman"/>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C5A81"/>
    <w:multiLevelType w:val="singleLevel"/>
    <w:tmpl w:val="B65C5A8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D60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2025-01-06T07:45:25Z</dcterms:created>
  <dc:creator>Administrator</dc:creator>
  <cp:lastModifiedBy>Administrator</cp:lastModifiedBy>
  <dcterms:modified xsi:type="dcterms:W3CDTF">2025-01-06T07:45:32Z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