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税务系统教育培训管理者能力提升培训班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加深入领会中共中央《干部教育培训工作条例》精神，贯彻落实《全国干部教育培训规划（2023—2027年）》和国家税务总局《关于推进税务干部教育培训高质量发展的指导意见》的要求，稳妥推进全国税务系统第14次干部教育培训工作会议的各项部署，使教育培训管理者明确目标责任，做好主责主业，策划本期培训班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税务系统各省（自治区、直辖市）、</w:t>
      </w:r>
      <w:r>
        <w:rPr>
          <w:rFonts w:hint="eastAsia" w:ascii="仿宋" w:hAnsi="仿宋" w:eastAsia="仿宋"/>
          <w:bCs/>
          <w:sz w:val="28"/>
          <w:szCs w:val="28"/>
        </w:rPr>
        <w:t>市</w:t>
      </w:r>
      <w:r>
        <w:rPr>
          <w:rFonts w:hint="eastAsia" w:ascii="仿宋" w:hAnsi="仿宋" w:eastAsia="仿宋"/>
          <w:sz w:val="28"/>
          <w:szCs w:val="28"/>
        </w:rPr>
        <w:t>（地区）税务机关教育培训主管部门管理</w:t>
      </w:r>
      <w:r>
        <w:rPr>
          <w:rFonts w:hint="eastAsia" w:ascii="仿宋" w:hAnsi="仿宋" w:eastAsia="仿宋"/>
          <w:bCs/>
          <w:sz w:val="28"/>
          <w:szCs w:val="28"/>
        </w:rPr>
        <w:t>者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深入学习领会《干部教育培训工作条例》的总体要求，全面了解《全国干部教育培训规划（2023—2027年）》的部署安排，结合总局《关于推进税务干部教育培训高质量发展的指导意见》的时间表路线图，共同探讨税务教育培训工作中的热点难点问题，提升风险防范意识，形成有效的方法路径，提升工作质效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培训时间共6天，其中课程环节4天，非课程环节2天。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课程设置</w:t>
      </w:r>
    </w:p>
    <w:tbl>
      <w:tblPr>
        <w:tblStyle w:val="2"/>
        <w:tblW w:w="8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605"/>
        <w:gridCol w:w="1112"/>
        <w:gridCol w:w="1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模 块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培训内容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课时（天）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党的理论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（1天）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1.深刻理解和把握习近平新时代中国特色社会主义思想的科学体系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2.主题党日：学习 “四铁精神”  深化税务文化建设—大连旅顺口区税务局铁山税务所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（3天）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1.学习贯彻《条例》和《规划》</w:t>
            </w:r>
          </w:p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推进税务干部教育培训高质量发展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2.税务干部教育培训条规制度解读（项目管理、经费、学员管理、评估管理、风险防控等）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3.把准理念原理与实际，精准抓好实质工作—基层干部教育培训的功能定位与实施重点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4.实战化培训项目的组织与实施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5.研讨交流—如何提升初任培训的质效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6.研讨交流集中汇报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非课程环节模块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（2天）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1.报到、返程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7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合   计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</w:tr>
    </w:tbl>
    <w:p>
      <w:pPr>
        <w:rPr>
          <w:rFonts w:hint="eastAsia"/>
          <w:szCs w:val="21"/>
        </w:rPr>
      </w:pPr>
      <w:r>
        <w:t xml:space="preserve">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22E41"/>
    <w:multiLevelType w:val="multilevel"/>
    <w:tmpl w:val="02F22E41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534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2023-12-26T13:27:22Z</dcterms:created>
  <dc:creator>dlglh</dc:creator>
  <cp:lastModifiedBy>顾</cp:lastModifiedBy>
  <dcterms:modified xsi:type="dcterms:W3CDTF">2023-12-26T13:27:40Z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39614FE0E19C4967BB5481EC931178E3_12</vt:lpwstr>
  </property>
</Properties>
</file>