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企业所得税汇算清缴风险识别及管理能力提升培训班</w:t>
      </w:r>
    </w:p>
    <w:bookmarkEnd w:id="0"/>
    <w:p>
      <w:pPr>
        <w:snapToGrid w:val="0"/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</w:t>
      </w:r>
      <w:r>
        <w:rPr>
          <w:rFonts w:hint="eastAsia" w:ascii="黑体" w:hAnsi="黑体" w:eastAsia="黑体" w:cs="仿宋"/>
          <w:sz w:val="32"/>
          <w:szCs w:val="32"/>
        </w:rPr>
        <w:t>计划书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企业所得税作为直接税，调节国家与企业之间的收入分配。同时，企业所得税具有征收面广、税收政策复杂、报表填报项多等特点</w:t>
      </w:r>
      <w:r>
        <w:rPr>
          <w:rFonts w:ascii="仿宋" w:hAnsi="仿宋" w:eastAsia="仿宋" w:cs="仿宋"/>
          <w:sz w:val="28"/>
          <w:szCs w:val="28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使得其税收风险监管难度大、税务执法风险高。为进一步提高税务干部对企业所得税风险的管理能力，策划设计本项目。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企业所得税条线以及与企业所得税业务相关的税务干部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通过培训学习，使学员精准把握企业所得税政策，提高学员税收风险管理能力，有效防范企业所得税税收风险，从而提升企业所得税管理工作质效。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在校培训时间共9天，其中课程环节7天，非课程环节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天。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2"/>
        <w:tblW w:w="89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196"/>
        <w:gridCol w:w="1331"/>
        <w:gridCol w:w="1512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7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块</w:t>
            </w:r>
          </w:p>
        </w:tc>
        <w:tc>
          <w:tcPr>
            <w:tcW w:w="319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512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44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1.5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196" w:type="dxa"/>
            <w:tcBorders>
              <w:top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党的理论与党性教育相关课程</w:t>
            </w:r>
          </w:p>
        </w:tc>
        <w:tc>
          <w:tcPr>
            <w:tcW w:w="1331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512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主题党日活动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5.5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1.2024</w:t>
            </w:r>
            <w:r>
              <w:rPr>
                <w:rFonts w:hint="eastAsia" w:ascii="仿宋" w:hAnsi="仿宋" w:eastAsia="仿宋" w:cs="仿宋"/>
                <w:sz w:val="24"/>
              </w:rPr>
              <w:t>年企业所得税汇算清缴重点政策解析及涉税风险识别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企业所得税税前扣除凭证风险管理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企业所得税优惠政策解析及涉税风险识别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企业清算所得税政策及涉税风险识别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</w:tbl>
    <w:p>
      <w:pPr>
        <w:snapToGrid w:val="0"/>
        <w:spacing w:line="360" w:lineRule="exact"/>
        <w:rPr>
          <w:rFonts w:hint="eastAsia" w:ascii="仿宋" w:hAnsi="仿宋" w:eastAsia="仿宋" w:cs="仿宋"/>
          <w:b/>
          <w:sz w:val="24"/>
        </w:rPr>
      </w:pPr>
      <w:r>
        <w:rPr>
          <w:rFonts w:ascii="仿宋" w:hAnsi="仿宋" w:eastAsia="仿宋" w:cs="仿宋"/>
          <w:b/>
          <w:sz w:val="24"/>
        </w:rPr>
        <w:br w:type="page"/>
      </w:r>
    </w:p>
    <w:tbl>
      <w:tblPr>
        <w:tblStyle w:val="2"/>
        <w:tblW w:w="89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196"/>
        <w:gridCol w:w="1331"/>
        <w:gridCol w:w="1512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企业所得税重点难点业务税会差异分析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企业所得税纳税评估实战化演练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案例式、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企业所得税季度及年度纳税申报表重点栏次涉税风险识别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案例式、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研讨交流：企业所得税风险管理工作中有哪些亟待解决的问题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9.充分发挥税收在国家治理中的功能作用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学习兴税</w:t>
            </w:r>
            <w:r>
              <w:rPr>
                <w:rFonts w:ascii="仿宋" w:hAnsi="仿宋" w:eastAsia="仿宋"/>
                <w:sz w:val="24"/>
              </w:rPr>
              <w:t>——</w:t>
            </w:r>
            <w:r>
              <w:rPr>
                <w:rFonts w:hint="eastAsia" w:ascii="仿宋" w:hAnsi="仿宋" w:eastAsia="仿宋"/>
                <w:sz w:val="24"/>
              </w:rPr>
              <w:t>标课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自主学习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非课程环节（</w:t>
            </w:r>
            <w:r>
              <w:rPr>
                <w:rFonts w:ascii="仿宋" w:hAnsi="仿宋" w:eastAsia="仿宋" w:cs="仿宋"/>
                <w:b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报到、返程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441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  <w:gridSpan w:val="2"/>
            <w:tcBorders>
              <w:bottom w:val="single" w:color="auto" w:sz="12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428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</w:t>
            </w: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2025-01-06T07:37:02Z</dcterms:created>
  <dc:creator>Administrator</dc:creator>
  <cp:lastModifiedBy>Administrator</cp:lastModifiedBy>
  <dcterms:modified xsi:type="dcterms:W3CDTF">2025-01-06T07:37:09Z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