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320" w:firstLineChars="100"/>
        <w:jc w:val="center"/>
        <w:rPr>
          <w:rFonts w:hint="eastAsia" w:ascii="黑体" w:hAnsi="黑体" w:eastAsia="黑体" w:cs="Times New Roman"/>
          <w:bCs/>
          <w:sz w:val="32"/>
          <w:szCs w:val="32"/>
        </w:rPr>
      </w:pPr>
      <w:bookmarkStart w:id="0" w:name="_GoBack"/>
      <w:r>
        <w:rPr>
          <w:rFonts w:hint="eastAsia" w:ascii="黑体" w:hAnsi="黑体" w:eastAsia="黑体" w:cs="Times New Roman"/>
          <w:bCs/>
          <w:sz w:val="32"/>
          <w:szCs w:val="32"/>
        </w:rPr>
        <w:t>习近平新时代中国特色社会主义思想研讨班</w:t>
      </w:r>
    </w:p>
    <w:bookmarkEnd w:id="0"/>
    <w:p>
      <w:pPr>
        <w:snapToGrid w:val="0"/>
        <w:spacing w:line="360" w:lineRule="auto"/>
        <w:ind w:firstLine="320" w:firstLineChars="100"/>
        <w:jc w:val="center"/>
        <w:rPr>
          <w:rFonts w:hint="eastAsia" w:ascii="黑体" w:hAnsi="黑体" w:eastAsia="黑体" w:cs="Times New Roman"/>
          <w:bCs/>
          <w:sz w:val="32"/>
          <w:szCs w:val="32"/>
        </w:rPr>
      </w:pPr>
      <w:r>
        <w:rPr>
          <w:rFonts w:hint="eastAsia" w:ascii="黑体" w:hAnsi="黑体" w:eastAsia="黑体" w:cs="Times New Roman"/>
          <w:bCs/>
          <w:sz w:val="32"/>
          <w:szCs w:val="32"/>
        </w:rPr>
        <w:t>项目计划书</w:t>
      </w:r>
    </w:p>
    <w:p>
      <w:pPr>
        <w:adjustRightInd w:val="0"/>
        <w:snapToGrid w:val="0"/>
        <w:spacing w:line="360" w:lineRule="auto"/>
        <w:ind w:firstLine="560" w:firstLineChars="200"/>
        <w:rPr>
          <w:rFonts w:hint="eastAsia" w:ascii="仿宋" w:hAnsi="仿宋" w:eastAsia="仿宋" w:cs="仿宋"/>
          <w:sz w:val="28"/>
          <w:szCs w:val="28"/>
        </w:rPr>
      </w:pP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为深入贯彻习近平新时代中国特色社会主义思想、全面落实党的二十大和二十届三中全会精神，助推中国式现代化税务实践走深走实走稳，策划本期培训班。</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一、培训对象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处级、科级领导干部、党务干部、业务骨干</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二、培训目标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深入系统的学习贯彻习近平新时代中国特色社会主义思想为核心，通过培训，使学员进一步加深对习近平新时代中国特色社会主义思想的理论逻辑、历史逻辑和实践逻辑的理解和把握，更加夯实坚定捍卫“两个确立”、坚决做到“两个维护”的思想根基，做到学思用贯通、知信行统一，提高思想认识和政治站位，把学习成果转化为推动税收工作的强大力量。</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三、培训时间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在校培训时间共8天，其中课堂教学6天，报到、返程 2天。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四、课程设置</w:t>
      </w:r>
    </w:p>
    <w:tbl>
      <w:tblPr>
        <w:tblStyle w:val="2"/>
        <w:tblW w:w="877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3422"/>
        <w:gridCol w:w="1386"/>
        <w:gridCol w:w="1286"/>
        <w:gridCol w:w="1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Borders>
              <w:tl2br w:val="nil"/>
              <w:tr2bl w:val="nil"/>
            </w:tcBorders>
            <w:vAlign w:val="center"/>
          </w:tcPr>
          <w:p>
            <w:pPr>
              <w:snapToGrid w:val="0"/>
              <w:jc w:val="center"/>
              <w:rPr>
                <w:rFonts w:hint="eastAsia" w:ascii="仿宋" w:hAnsi="仿宋" w:eastAsia="仿宋" w:cs="仿宋"/>
                <w:b/>
                <w:sz w:val="24"/>
              </w:rPr>
            </w:pPr>
            <w:r>
              <w:rPr>
                <w:rFonts w:hint="eastAsia" w:ascii="仿宋" w:hAnsi="仿宋" w:eastAsia="仿宋" w:cs="仿宋"/>
                <w:b/>
                <w:sz w:val="24"/>
              </w:rPr>
              <w:t>模 块</w:t>
            </w:r>
          </w:p>
        </w:tc>
        <w:tc>
          <w:tcPr>
            <w:tcW w:w="3422" w:type="dxa"/>
            <w:tcBorders>
              <w:tl2br w:val="nil"/>
              <w:tr2bl w:val="nil"/>
            </w:tcBorders>
            <w:vAlign w:val="center"/>
          </w:tcPr>
          <w:p>
            <w:pPr>
              <w:snapToGrid w:val="0"/>
              <w:jc w:val="center"/>
              <w:rPr>
                <w:rFonts w:hint="eastAsia" w:ascii="仿宋" w:hAnsi="仿宋" w:eastAsia="仿宋" w:cs="仿宋"/>
                <w:b/>
                <w:sz w:val="24"/>
              </w:rPr>
            </w:pPr>
            <w:r>
              <w:rPr>
                <w:rFonts w:hint="eastAsia" w:ascii="仿宋" w:hAnsi="仿宋" w:eastAsia="仿宋" w:cs="仿宋"/>
                <w:b/>
                <w:sz w:val="24"/>
              </w:rPr>
              <w:t>培训内容</w:t>
            </w:r>
          </w:p>
        </w:tc>
        <w:tc>
          <w:tcPr>
            <w:tcW w:w="1386" w:type="dxa"/>
            <w:tcBorders>
              <w:tl2br w:val="nil"/>
              <w:tr2bl w:val="nil"/>
            </w:tcBorders>
            <w:vAlign w:val="center"/>
          </w:tcPr>
          <w:p>
            <w:pPr>
              <w:snapToGrid w:val="0"/>
              <w:jc w:val="center"/>
              <w:rPr>
                <w:rFonts w:hint="eastAsia" w:ascii="仿宋" w:hAnsi="仿宋" w:eastAsia="仿宋" w:cs="仿宋"/>
                <w:b/>
                <w:sz w:val="24"/>
              </w:rPr>
            </w:pPr>
            <w:r>
              <w:rPr>
                <w:rFonts w:hint="eastAsia" w:ascii="仿宋" w:hAnsi="仿宋" w:eastAsia="仿宋" w:cs="仿宋"/>
                <w:b/>
                <w:sz w:val="24"/>
              </w:rPr>
              <w:t>课时（天）</w:t>
            </w:r>
          </w:p>
        </w:tc>
        <w:tc>
          <w:tcPr>
            <w:tcW w:w="1286" w:type="dxa"/>
            <w:tcBorders>
              <w:tl2br w:val="nil"/>
              <w:tr2bl w:val="nil"/>
            </w:tcBorders>
            <w:vAlign w:val="center"/>
          </w:tcPr>
          <w:p>
            <w:pPr>
              <w:snapToGrid w:val="0"/>
              <w:jc w:val="center"/>
              <w:rPr>
                <w:rFonts w:hint="eastAsia" w:ascii="仿宋" w:hAnsi="仿宋" w:eastAsia="仿宋" w:cs="仿宋"/>
                <w:b/>
                <w:sz w:val="24"/>
              </w:rPr>
            </w:pPr>
            <w:r>
              <w:rPr>
                <w:rFonts w:hint="eastAsia" w:ascii="仿宋" w:hAnsi="仿宋" w:eastAsia="仿宋" w:cs="仿宋"/>
                <w:b/>
                <w:sz w:val="24"/>
              </w:rPr>
              <w:t>拟聘师资</w:t>
            </w:r>
          </w:p>
        </w:tc>
        <w:tc>
          <w:tcPr>
            <w:tcW w:w="1267" w:type="dxa"/>
            <w:tcBorders>
              <w:tl2br w:val="nil"/>
              <w:tr2bl w:val="nil"/>
            </w:tcBorders>
            <w:vAlign w:val="center"/>
          </w:tcPr>
          <w:p>
            <w:pPr>
              <w:snapToGrid w:val="0"/>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414" w:type="dxa"/>
            <w:vMerge w:val="restart"/>
            <w:tcBorders>
              <w:tl2br w:val="nil"/>
              <w:tr2bl w:val="nil"/>
            </w:tcBorders>
            <w:vAlign w:val="center"/>
          </w:tcPr>
          <w:p>
            <w:pPr>
              <w:snapToGrid w:val="0"/>
              <w:ind w:left="118" w:hanging="118" w:hangingChars="49"/>
              <w:jc w:val="center"/>
              <w:rPr>
                <w:rFonts w:hint="eastAsia" w:ascii="仿宋" w:hAnsi="仿宋" w:eastAsia="仿宋" w:cs="仿宋"/>
                <w:b/>
                <w:sz w:val="24"/>
              </w:rPr>
            </w:pPr>
            <w:r>
              <w:rPr>
                <w:rFonts w:hint="eastAsia" w:ascii="仿宋" w:hAnsi="仿宋" w:eastAsia="仿宋" w:cs="仿宋"/>
                <w:b/>
                <w:sz w:val="24"/>
              </w:rPr>
              <w:t>核心业务</w:t>
            </w:r>
          </w:p>
          <w:p>
            <w:pPr>
              <w:snapToGrid w:val="0"/>
              <w:ind w:left="118" w:hanging="118" w:hangingChars="49"/>
              <w:jc w:val="center"/>
              <w:rPr>
                <w:rFonts w:hint="eastAsia" w:ascii="仿宋" w:hAnsi="仿宋" w:eastAsia="仿宋" w:cs="仿宋"/>
                <w:b/>
                <w:sz w:val="24"/>
              </w:rPr>
            </w:pPr>
            <w:r>
              <w:rPr>
                <w:rFonts w:hint="eastAsia" w:ascii="仿宋" w:hAnsi="仿宋" w:eastAsia="仿宋" w:cs="仿宋"/>
                <w:b/>
                <w:sz w:val="24"/>
              </w:rPr>
              <w:t>（3.5天）</w:t>
            </w:r>
          </w:p>
        </w:tc>
        <w:tc>
          <w:tcPr>
            <w:tcW w:w="3422" w:type="dxa"/>
            <w:tcBorders>
              <w:tl2br w:val="nil"/>
              <w:tr2bl w:val="nil"/>
            </w:tcBorders>
            <w:vAlign w:val="center"/>
          </w:tcPr>
          <w:p>
            <w:pPr>
              <w:snapToGrid w:val="0"/>
              <w:rPr>
                <w:rFonts w:hint="eastAsia" w:ascii="仿宋" w:hAnsi="仿宋" w:eastAsia="仿宋" w:cs="Times New Roman"/>
                <w:sz w:val="24"/>
              </w:rPr>
            </w:pPr>
            <w:r>
              <w:rPr>
                <w:rFonts w:ascii="仿宋" w:hAnsi="仿宋" w:eastAsia="仿宋" w:cs="仿宋"/>
                <w:snapToGrid w:val="0"/>
                <w:color w:val="000000"/>
                <w:spacing w:val="-1"/>
                <w:sz w:val="24"/>
              </w:rPr>
              <w:t>1.深刻理解和把握习近平新时代中国特色社会主义思想的科学体系</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414" w:type="dxa"/>
            <w:vMerge w:val="continue"/>
            <w:tcBorders>
              <w:tl2br w:val="nil"/>
              <w:tr2bl w:val="nil"/>
            </w:tcBorders>
            <w:vAlign w:val="center"/>
          </w:tcPr>
          <w:p>
            <w:pPr>
              <w:snapToGrid w:val="0"/>
              <w:ind w:left="118" w:hanging="118" w:hangingChars="49"/>
              <w:jc w:val="center"/>
              <w:rPr>
                <w:rFonts w:hint="eastAsia" w:ascii="仿宋" w:hAnsi="仿宋" w:eastAsia="仿宋" w:cs="仿宋"/>
                <w:b/>
                <w:sz w:val="24"/>
              </w:rPr>
            </w:pPr>
          </w:p>
        </w:tc>
        <w:tc>
          <w:tcPr>
            <w:tcW w:w="3422" w:type="dxa"/>
            <w:tcBorders>
              <w:tl2br w:val="nil"/>
              <w:tr2bl w:val="nil"/>
            </w:tcBorders>
            <w:vAlign w:val="center"/>
          </w:tcPr>
          <w:p>
            <w:pPr>
              <w:snapToGrid w:val="0"/>
              <w:jc w:val="left"/>
              <w:rPr>
                <w:rFonts w:hint="eastAsia" w:ascii="仿宋" w:hAnsi="仿宋" w:eastAsia="仿宋" w:cs="Times New Roman"/>
                <w:sz w:val="24"/>
              </w:rPr>
            </w:pPr>
            <w:r>
              <w:rPr>
                <w:rFonts w:hint="eastAsia" w:ascii="仿宋" w:hAnsi="仿宋" w:eastAsia="仿宋" w:cs="仿宋"/>
                <w:snapToGrid w:val="0"/>
                <w:color w:val="000000"/>
                <w:spacing w:val="-1"/>
                <w:sz w:val="24"/>
              </w:rPr>
              <w:t>2.认真学习贯彻党的二十届三中全会精神</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414" w:type="dxa"/>
            <w:vMerge w:val="continue"/>
            <w:tcBorders>
              <w:tl2br w:val="nil"/>
              <w:tr2bl w:val="nil"/>
            </w:tcBorders>
            <w:vAlign w:val="center"/>
          </w:tcPr>
          <w:p>
            <w:pPr>
              <w:snapToGrid w:val="0"/>
              <w:ind w:left="118" w:hanging="118" w:hangingChars="49"/>
              <w:jc w:val="center"/>
              <w:rPr>
                <w:rFonts w:hint="eastAsia" w:ascii="仿宋" w:hAnsi="仿宋" w:eastAsia="仿宋" w:cs="仿宋"/>
                <w:b/>
                <w:sz w:val="24"/>
              </w:rPr>
            </w:pPr>
          </w:p>
        </w:tc>
        <w:tc>
          <w:tcPr>
            <w:tcW w:w="3422" w:type="dxa"/>
            <w:tcBorders>
              <w:tl2br w:val="nil"/>
              <w:tr2bl w:val="nil"/>
            </w:tcBorders>
            <w:vAlign w:val="center"/>
          </w:tcPr>
          <w:p>
            <w:pPr>
              <w:snapToGrid w:val="0"/>
              <w:jc w:val="left"/>
              <w:rPr>
                <w:rFonts w:hint="eastAsia" w:ascii="仿宋" w:hAnsi="仿宋" w:eastAsia="仿宋" w:cs="Times New Roman"/>
                <w:sz w:val="24"/>
              </w:rPr>
            </w:pPr>
            <w:r>
              <w:rPr>
                <w:rFonts w:hint="eastAsia" w:ascii="仿宋" w:hAnsi="仿宋" w:eastAsia="仿宋" w:cs="仿宋"/>
                <w:snapToGrid w:val="0"/>
                <w:color w:val="000000"/>
                <w:spacing w:val="-1"/>
                <w:sz w:val="24"/>
              </w:rPr>
              <w:t>3.深入学习习近平经济思想</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w:t>
            </w:r>
            <w:r>
              <w:rPr>
                <w:rFonts w:ascii="仿宋" w:hAnsi="仿宋" w:eastAsia="仿宋" w:cs="Times New Roman"/>
                <w:sz w:val="24"/>
              </w:rPr>
              <w:t>.5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vMerge w:val="continue"/>
            <w:tcBorders>
              <w:tl2br w:val="nil"/>
              <w:tr2bl w:val="nil"/>
            </w:tcBorders>
            <w:vAlign w:val="center"/>
          </w:tcPr>
          <w:p>
            <w:pPr>
              <w:snapToGrid w:val="0"/>
              <w:jc w:val="center"/>
              <w:rPr>
                <w:rFonts w:hint="eastAsia" w:ascii="仿宋" w:hAnsi="仿宋" w:eastAsia="仿宋" w:cs="仿宋"/>
                <w:b/>
                <w:sz w:val="24"/>
              </w:rPr>
            </w:pPr>
          </w:p>
        </w:tc>
        <w:tc>
          <w:tcPr>
            <w:tcW w:w="3422" w:type="dxa"/>
            <w:tcBorders>
              <w:tl2br w:val="nil"/>
              <w:tr2bl w:val="nil"/>
            </w:tcBorders>
            <w:vAlign w:val="center"/>
          </w:tcPr>
          <w:p>
            <w:pPr>
              <w:snapToGrid w:val="0"/>
              <w:jc w:val="left"/>
              <w:rPr>
                <w:rFonts w:hint="eastAsia" w:ascii="仿宋" w:hAnsi="仿宋" w:eastAsia="仿宋" w:cs="Times New Roman"/>
                <w:sz w:val="24"/>
              </w:rPr>
            </w:pPr>
            <w:r>
              <w:rPr>
                <w:rFonts w:hint="eastAsia" w:ascii="仿宋" w:hAnsi="仿宋" w:eastAsia="仿宋" w:cs="仿宋"/>
                <w:snapToGrid w:val="0"/>
                <w:color w:val="000000"/>
                <w:spacing w:val="-1"/>
                <w:sz w:val="24"/>
              </w:rPr>
              <w:t>4.深入学习习近平生态文明思想 为美丽中国建设贡献税收力量</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vMerge w:val="continue"/>
            <w:tcBorders>
              <w:tl2br w:val="nil"/>
              <w:tr2bl w:val="nil"/>
            </w:tcBorders>
            <w:vAlign w:val="center"/>
          </w:tcPr>
          <w:p>
            <w:pPr>
              <w:snapToGrid w:val="0"/>
              <w:jc w:val="center"/>
              <w:rPr>
                <w:rFonts w:hint="eastAsia" w:ascii="仿宋" w:hAnsi="仿宋" w:eastAsia="仿宋" w:cs="仿宋"/>
                <w:b/>
                <w:sz w:val="24"/>
              </w:rPr>
            </w:pPr>
          </w:p>
        </w:tc>
        <w:tc>
          <w:tcPr>
            <w:tcW w:w="3422" w:type="dxa"/>
            <w:tcBorders>
              <w:tl2br w:val="nil"/>
              <w:tr2bl w:val="nil"/>
            </w:tcBorders>
            <w:vAlign w:val="center"/>
          </w:tcPr>
          <w:p>
            <w:pPr>
              <w:snapToGrid w:val="0"/>
              <w:jc w:val="left"/>
              <w:rPr>
                <w:rFonts w:hint="eastAsia" w:ascii="仿宋" w:hAnsi="仿宋" w:eastAsia="仿宋" w:cs="Times New Roman"/>
                <w:sz w:val="24"/>
              </w:rPr>
            </w:pPr>
            <w:r>
              <w:rPr>
                <w:rFonts w:hint="eastAsia" w:ascii="仿宋" w:hAnsi="仿宋" w:eastAsia="仿宋" w:cs="仿宋"/>
                <w:snapToGrid w:val="0"/>
                <w:color w:val="000000"/>
                <w:spacing w:val="-1"/>
                <w:sz w:val="24"/>
              </w:rPr>
              <w:t>5.坚持以习近平法治思想为指导 深入推进税务机关依法行政</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vMerge w:val="continue"/>
            <w:tcBorders>
              <w:tl2br w:val="nil"/>
              <w:tr2bl w:val="nil"/>
            </w:tcBorders>
            <w:vAlign w:val="center"/>
          </w:tcPr>
          <w:p>
            <w:pPr>
              <w:snapToGrid w:val="0"/>
              <w:jc w:val="center"/>
              <w:rPr>
                <w:rFonts w:hint="eastAsia" w:ascii="仿宋" w:hAnsi="仿宋" w:eastAsia="仿宋" w:cs="仿宋"/>
                <w:b/>
                <w:sz w:val="24"/>
              </w:rPr>
            </w:pPr>
          </w:p>
        </w:tc>
        <w:tc>
          <w:tcPr>
            <w:tcW w:w="3422" w:type="dxa"/>
            <w:tcBorders>
              <w:tl2br w:val="nil"/>
              <w:tr2bl w:val="nil"/>
            </w:tcBorders>
            <w:vAlign w:val="center"/>
          </w:tcPr>
          <w:p>
            <w:pPr>
              <w:snapToGrid w:val="0"/>
              <w:jc w:val="left"/>
              <w:rPr>
                <w:rFonts w:hint="eastAsia" w:ascii="仿宋" w:hAnsi="仿宋" w:eastAsia="仿宋" w:cs="Times New Roman"/>
                <w:sz w:val="24"/>
              </w:rPr>
            </w:pPr>
            <w:r>
              <w:rPr>
                <w:rFonts w:hint="eastAsia" w:ascii="仿宋" w:hAnsi="仿宋" w:eastAsia="仿宋" w:cs="仿宋"/>
                <w:snapToGrid w:val="0"/>
                <w:color w:val="000000"/>
                <w:spacing w:val="-1"/>
                <w:sz w:val="24"/>
              </w:rPr>
              <w:t>6.深刻领会习近平文化思想 坚定文化自信自强</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vMerge w:val="continue"/>
            <w:tcBorders>
              <w:tl2br w:val="nil"/>
              <w:tr2bl w:val="nil"/>
            </w:tcBorders>
            <w:vAlign w:val="center"/>
          </w:tcPr>
          <w:p>
            <w:pPr>
              <w:snapToGrid w:val="0"/>
              <w:jc w:val="center"/>
              <w:rPr>
                <w:rFonts w:hint="eastAsia" w:ascii="仿宋" w:hAnsi="仿宋" w:eastAsia="仿宋" w:cs="仿宋"/>
                <w:b/>
                <w:sz w:val="24"/>
              </w:rPr>
            </w:pPr>
          </w:p>
        </w:tc>
        <w:tc>
          <w:tcPr>
            <w:tcW w:w="3422" w:type="dxa"/>
            <w:tcBorders>
              <w:tl2br w:val="nil"/>
              <w:tr2bl w:val="nil"/>
            </w:tcBorders>
            <w:vAlign w:val="center"/>
          </w:tcPr>
          <w:p>
            <w:pPr>
              <w:snapToGrid w:val="0"/>
              <w:jc w:val="left"/>
              <w:rPr>
                <w:rFonts w:hint="eastAsia" w:ascii="仿宋" w:hAnsi="仿宋" w:eastAsia="仿宋" w:cs="Times New Roman"/>
                <w:sz w:val="24"/>
              </w:rPr>
            </w:pPr>
            <w:r>
              <w:rPr>
                <w:rFonts w:hint="eastAsia" w:ascii="仿宋" w:hAnsi="仿宋" w:eastAsia="仿宋" w:cs="仿宋"/>
                <w:snapToGrid w:val="0"/>
                <w:color w:val="000000"/>
                <w:spacing w:val="-1"/>
                <w:sz w:val="24"/>
              </w:rPr>
              <w:t>7.认真学习习近平总书记关于党的建设的重要思想</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w:t>
            </w:r>
            <w:r>
              <w:rPr>
                <w:rFonts w:ascii="仿宋" w:hAnsi="仿宋" w:eastAsia="仿宋" w:cs="Times New Roman"/>
                <w:sz w:val="24"/>
              </w:rPr>
              <w:t>.5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仿宋"/>
                <w:snapToGrid w:val="0"/>
                <w:color w:val="000000"/>
                <w:spacing w:val="-1"/>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vMerge w:val="restart"/>
            <w:tcBorders>
              <w:tl2br w:val="nil"/>
              <w:tr2bl w:val="nil"/>
            </w:tcBorders>
            <w:vAlign w:val="center"/>
          </w:tcPr>
          <w:p>
            <w:pPr>
              <w:snapToGrid w:val="0"/>
              <w:jc w:val="center"/>
              <w:rPr>
                <w:rFonts w:hint="eastAsia" w:ascii="仿宋" w:hAnsi="仿宋" w:eastAsia="仿宋" w:cs="仿宋"/>
                <w:b/>
                <w:sz w:val="24"/>
              </w:rPr>
            </w:pPr>
            <w:r>
              <w:rPr>
                <w:rFonts w:hint="eastAsia" w:ascii="仿宋" w:hAnsi="仿宋" w:eastAsia="仿宋" w:cs="仿宋"/>
                <w:b/>
                <w:sz w:val="24"/>
              </w:rPr>
              <w:t>相关业务</w:t>
            </w:r>
          </w:p>
          <w:p>
            <w:pPr>
              <w:snapToGrid w:val="0"/>
              <w:jc w:val="center"/>
              <w:rPr>
                <w:rFonts w:hint="eastAsia" w:ascii="仿宋" w:hAnsi="仿宋" w:eastAsia="仿宋" w:cs="仿宋"/>
                <w:b/>
                <w:sz w:val="24"/>
              </w:rPr>
            </w:pPr>
            <w:r>
              <w:rPr>
                <w:rFonts w:hint="eastAsia" w:ascii="仿宋" w:hAnsi="仿宋" w:eastAsia="仿宋" w:cs="仿宋"/>
                <w:b/>
                <w:sz w:val="24"/>
              </w:rPr>
              <w:t>（2.5天）</w:t>
            </w:r>
          </w:p>
        </w:tc>
        <w:tc>
          <w:tcPr>
            <w:tcW w:w="3422" w:type="dxa"/>
            <w:tcBorders>
              <w:tl2br w:val="nil"/>
              <w:tr2bl w:val="nil"/>
            </w:tcBorders>
          </w:tcPr>
          <w:p>
            <w:pPr>
              <w:ind w:right="95"/>
              <w:rPr>
                <w:rFonts w:hint="eastAsia" w:ascii="仿宋" w:hAnsi="仿宋" w:eastAsia="仿宋" w:cs="仿宋"/>
                <w:sz w:val="24"/>
              </w:rPr>
            </w:pPr>
            <w:r>
              <w:rPr>
                <w:rFonts w:hint="eastAsia" w:ascii="仿宋" w:hAnsi="仿宋" w:eastAsia="仿宋" w:cs="仿宋"/>
                <w:spacing w:val="-1"/>
                <w:sz w:val="24"/>
              </w:rPr>
              <w:t>1.深刻领会习近平总书记关于干部队伍建设的重要论述</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仿宋"/>
                <w:snapToGrid w:val="0"/>
                <w:color w:val="000000"/>
                <w:spacing w:val="-1"/>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vMerge w:val="continue"/>
            <w:tcBorders>
              <w:tl2br w:val="nil"/>
              <w:tr2bl w:val="nil"/>
            </w:tcBorders>
            <w:vAlign w:val="center"/>
          </w:tcPr>
          <w:p>
            <w:pPr>
              <w:snapToGrid w:val="0"/>
              <w:jc w:val="center"/>
              <w:rPr>
                <w:rFonts w:hint="eastAsia" w:ascii="仿宋" w:hAnsi="仿宋" w:eastAsia="仿宋" w:cs="仿宋"/>
                <w:b/>
                <w:sz w:val="24"/>
              </w:rPr>
            </w:pPr>
          </w:p>
        </w:tc>
        <w:tc>
          <w:tcPr>
            <w:tcW w:w="3422" w:type="dxa"/>
            <w:tcBorders>
              <w:tl2br w:val="nil"/>
              <w:tr2bl w:val="nil"/>
            </w:tcBorders>
          </w:tcPr>
          <w:p>
            <w:pPr>
              <w:ind w:right="95"/>
              <w:rPr>
                <w:rFonts w:hint="eastAsia" w:ascii="仿宋" w:hAnsi="仿宋" w:eastAsia="仿宋" w:cs="仿宋"/>
                <w:sz w:val="24"/>
              </w:rPr>
            </w:pPr>
            <w:r>
              <w:rPr>
                <w:rFonts w:hint="eastAsia" w:ascii="仿宋" w:hAnsi="仿宋" w:eastAsia="仿宋" w:cs="仿宋"/>
                <w:snapToGrid w:val="0"/>
                <w:color w:val="000000"/>
                <w:spacing w:val="-1"/>
                <w:sz w:val="24"/>
              </w:rPr>
              <w:t>2.学习贯彻“总体国家安全观” 筑牢底线思维、强化风险意识</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w:t>
            </w:r>
            <w:r>
              <w:rPr>
                <w:rFonts w:ascii="仿宋" w:hAnsi="仿宋" w:eastAsia="仿宋" w:cs="Times New Roman"/>
                <w:sz w:val="24"/>
              </w:rPr>
              <w:t>.5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仿宋"/>
                <w:snapToGrid w:val="0"/>
                <w:color w:val="000000"/>
                <w:spacing w:val="-1"/>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vMerge w:val="continue"/>
            <w:tcBorders>
              <w:tl2br w:val="nil"/>
              <w:tr2bl w:val="nil"/>
            </w:tcBorders>
            <w:vAlign w:val="center"/>
          </w:tcPr>
          <w:p>
            <w:pPr>
              <w:snapToGrid w:val="0"/>
              <w:jc w:val="center"/>
              <w:rPr>
                <w:rFonts w:hint="eastAsia" w:ascii="仿宋" w:hAnsi="仿宋" w:eastAsia="仿宋" w:cs="仿宋"/>
                <w:b/>
                <w:sz w:val="24"/>
              </w:rPr>
            </w:pPr>
          </w:p>
        </w:tc>
        <w:tc>
          <w:tcPr>
            <w:tcW w:w="3422" w:type="dxa"/>
            <w:tcBorders>
              <w:tl2br w:val="nil"/>
              <w:tr2bl w:val="nil"/>
            </w:tcBorders>
          </w:tcPr>
          <w:p>
            <w:pPr>
              <w:ind w:right="95"/>
              <w:rPr>
                <w:rFonts w:hint="eastAsia" w:ascii="仿宋" w:hAnsi="仿宋" w:eastAsia="仿宋" w:cs="仿宋"/>
                <w:sz w:val="24"/>
              </w:rPr>
            </w:pPr>
            <w:r>
              <w:rPr>
                <w:rFonts w:hint="eastAsia" w:ascii="仿宋" w:hAnsi="仿宋" w:eastAsia="仿宋" w:cs="仿宋"/>
                <w:spacing w:val="3"/>
                <w:sz w:val="24"/>
              </w:rPr>
              <w:t>3.学习习近平总书记关于思维方式的重要论述</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w:t>
            </w:r>
            <w:r>
              <w:rPr>
                <w:rFonts w:ascii="仿宋" w:hAnsi="仿宋" w:eastAsia="仿宋" w:cs="Times New Roman"/>
                <w:sz w:val="24"/>
              </w:rPr>
              <w:t>.5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仿宋"/>
                <w:snapToGrid w:val="0"/>
                <w:color w:val="000000"/>
                <w:spacing w:val="-1"/>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vMerge w:val="continue"/>
            <w:tcBorders>
              <w:tl2br w:val="nil"/>
              <w:tr2bl w:val="nil"/>
            </w:tcBorders>
            <w:vAlign w:val="center"/>
          </w:tcPr>
          <w:p>
            <w:pPr>
              <w:snapToGrid w:val="0"/>
              <w:jc w:val="center"/>
              <w:rPr>
                <w:rFonts w:hint="eastAsia" w:ascii="仿宋" w:hAnsi="仿宋" w:eastAsia="仿宋" w:cs="仿宋"/>
                <w:b/>
                <w:sz w:val="24"/>
              </w:rPr>
            </w:pPr>
          </w:p>
        </w:tc>
        <w:tc>
          <w:tcPr>
            <w:tcW w:w="3422" w:type="dxa"/>
            <w:tcBorders>
              <w:tl2br w:val="nil"/>
              <w:tr2bl w:val="nil"/>
            </w:tcBorders>
          </w:tcPr>
          <w:p>
            <w:pPr>
              <w:ind w:right="95"/>
              <w:rPr>
                <w:rFonts w:hint="eastAsia" w:ascii="仿宋" w:hAnsi="仿宋" w:eastAsia="仿宋" w:cs="仿宋"/>
                <w:sz w:val="24"/>
              </w:rPr>
            </w:pPr>
            <w:r>
              <w:rPr>
                <w:rFonts w:hint="eastAsia" w:ascii="仿宋" w:hAnsi="仿宋" w:eastAsia="仿宋" w:cs="仿宋"/>
                <w:snapToGrid w:val="0"/>
                <w:color w:val="000000"/>
                <w:spacing w:val="-1"/>
                <w:kern w:val="0"/>
                <w:sz w:val="24"/>
              </w:rPr>
              <w:t>4.研讨交流：在税收工作中如何以习近平新时代中国特色社会主义思想为指引，增强推进中国式现代化税务实践建设本领。</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414" w:type="dxa"/>
            <w:vMerge w:val="continue"/>
            <w:tcBorders>
              <w:tl2br w:val="nil"/>
              <w:tr2bl w:val="nil"/>
            </w:tcBorders>
            <w:vAlign w:val="center"/>
          </w:tcPr>
          <w:p>
            <w:pPr>
              <w:snapToGrid w:val="0"/>
              <w:jc w:val="center"/>
              <w:rPr>
                <w:rFonts w:hint="eastAsia" w:ascii="仿宋" w:hAnsi="仿宋" w:eastAsia="仿宋" w:cs="仿宋"/>
                <w:b/>
                <w:sz w:val="24"/>
              </w:rPr>
            </w:pPr>
          </w:p>
        </w:tc>
        <w:tc>
          <w:tcPr>
            <w:tcW w:w="3422" w:type="dxa"/>
            <w:tcBorders>
              <w:tl2br w:val="nil"/>
              <w:tr2bl w:val="nil"/>
            </w:tcBorders>
            <w:vAlign w:val="center"/>
          </w:tcPr>
          <w:p>
            <w:pPr>
              <w:rPr>
                <w:rFonts w:hint="eastAsia" w:ascii="仿宋" w:hAnsi="仿宋" w:eastAsia="仿宋" w:cs="Times New Roman"/>
                <w:sz w:val="24"/>
              </w:rPr>
            </w:pPr>
            <w:r>
              <w:rPr>
                <w:rFonts w:hint="eastAsia" w:ascii="仿宋" w:hAnsi="仿宋" w:eastAsia="仿宋" w:cs="Times New Roman"/>
                <w:sz w:val="24"/>
              </w:rPr>
              <w:t>5.</w:t>
            </w:r>
            <w:r>
              <w:rPr>
                <w:rFonts w:hint="eastAsia" w:ascii="仿宋" w:hAnsi="仿宋" w:eastAsia="仿宋" w:cs="仿宋"/>
                <w:snapToGrid w:val="0"/>
                <w:color w:val="000000"/>
                <w:spacing w:val="-1"/>
                <w:kern w:val="0"/>
                <w:sz w:val="24"/>
              </w:rPr>
              <w:t>主题党日</w:t>
            </w:r>
            <w:r>
              <w:rPr>
                <w:rFonts w:hint="eastAsia" w:ascii="仿宋" w:hAnsi="仿宋" w:eastAsia="仿宋" w:cs="Times New Roman"/>
                <w:color w:val="000000"/>
                <w:sz w:val="24"/>
              </w:rPr>
              <w:t>活动</w:t>
            </w:r>
          </w:p>
        </w:tc>
        <w:tc>
          <w:tcPr>
            <w:tcW w:w="13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0</w:t>
            </w:r>
            <w:r>
              <w:rPr>
                <w:rFonts w:ascii="仿宋" w:hAnsi="仿宋" w:eastAsia="仿宋" w:cs="Times New Roman"/>
                <w:sz w:val="24"/>
              </w:rPr>
              <w:t>.5</w:t>
            </w:r>
          </w:p>
        </w:tc>
        <w:tc>
          <w:tcPr>
            <w:tcW w:w="1286"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校内教师</w:t>
            </w:r>
          </w:p>
        </w:tc>
        <w:tc>
          <w:tcPr>
            <w:tcW w:w="1267" w:type="dxa"/>
            <w:tcBorders>
              <w:tl2br w:val="nil"/>
              <w:tr2bl w:val="nil"/>
            </w:tcBorders>
            <w:vAlign w:val="center"/>
          </w:tcPr>
          <w:p>
            <w:pPr>
              <w:autoSpaceDE w:val="0"/>
              <w:snapToGrid w:val="0"/>
              <w:jc w:val="center"/>
              <w:rPr>
                <w:rFonts w:hint="eastAsia" w:ascii="仿宋" w:hAnsi="仿宋" w:eastAsia="仿宋" w:cs="Times New Roman"/>
                <w:sz w:val="24"/>
              </w:rPr>
            </w:pPr>
            <w:r>
              <w:rPr>
                <w:rFonts w:hint="eastAsia" w:ascii="仿宋" w:hAnsi="仿宋" w:eastAsia="仿宋" w:cs="Times New Roman"/>
                <w:sz w:val="24"/>
              </w:rPr>
              <w:t>体验式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414" w:type="dxa"/>
            <w:tcBorders>
              <w:tl2br w:val="nil"/>
              <w:tr2bl w:val="nil"/>
            </w:tcBorders>
            <w:vAlign w:val="center"/>
          </w:tcPr>
          <w:p>
            <w:pPr>
              <w:snapToGrid w:val="0"/>
              <w:ind w:left="-105" w:leftChars="-50" w:right="-105" w:rightChars="-50"/>
              <w:jc w:val="center"/>
              <w:rPr>
                <w:rFonts w:hint="eastAsia" w:ascii="仿宋" w:hAnsi="仿宋" w:eastAsia="仿宋" w:cs="仿宋"/>
                <w:b/>
                <w:sz w:val="24"/>
              </w:rPr>
            </w:pPr>
            <w:r>
              <w:rPr>
                <w:rFonts w:hint="eastAsia" w:ascii="仿宋" w:hAnsi="仿宋" w:eastAsia="仿宋" w:cs="仿宋"/>
                <w:b/>
                <w:sz w:val="24"/>
              </w:rPr>
              <w:t>非课程环节</w:t>
            </w:r>
          </w:p>
          <w:p>
            <w:pPr>
              <w:snapToGrid w:val="0"/>
              <w:ind w:left="-105" w:leftChars="-50" w:right="-105" w:rightChars="-50"/>
              <w:jc w:val="center"/>
              <w:rPr>
                <w:rFonts w:hint="eastAsia" w:ascii="仿宋" w:hAnsi="仿宋" w:eastAsia="仿宋" w:cs="仿宋"/>
                <w:b/>
                <w:sz w:val="24"/>
              </w:rPr>
            </w:pPr>
            <w:r>
              <w:rPr>
                <w:rFonts w:hint="eastAsia" w:ascii="仿宋" w:hAnsi="仿宋" w:eastAsia="仿宋" w:cs="仿宋"/>
                <w:b/>
                <w:sz w:val="24"/>
              </w:rPr>
              <w:t>（2天）</w:t>
            </w:r>
          </w:p>
        </w:tc>
        <w:tc>
          <w:tcPr>
            <w:tcW w:w="3422" w:type="dxa"/>
            <w:tcBorders>
              <w:tl2br w:val="nil"/>
              <w:tr2bl w:val="nil"/>
            </w:tcBorders>
            <w:vAlign w:val="center"/>
          </w:tcPr>
          <w:p>
            <w:pPr>
              <w:snapToGrid w:val="0"/>
              <w:rPr>
                <w:rFonts w:hint="eastAsia" w:ascii="仿宋" w:hAnsi="仿宋" w:eastAsia="仿宋" w:cs="仿宋"/>
                <w:sz w:val="24"/>
              </w:rPr>
            </w:pPr>
            <w:r>
              <w:rPr>
                <w:rFonts w:hint="eastAsia" w:ascii="仿宋" w:hAnsi="仿宋" w:eastAsia="仿宋" w:cs="仿宋"/>
                <w:sz w:val="24"/>
              </w:rPr>
              <w:t>1.报到、返程</w:t>
            </w:r>
          </w:p>
        </w:tc>
        <w:tc>
          <w:tcPr>
            <w:tcW w:w="1386" w:type="dxa"/>
            <w:tcBorders>
              <w:tl2br w:val="nil"/>
              <w:tr2bl w:val="nil"/>
            </w:tcBorders>
            <w:vAlign w:val="center"/>
          </w:tcPr>
          <w:p>
            <w:pPr>
              <w:snapToGrid w:val="0"/>
              <w:jc w:val="center"/>
              <w:rPr>
                <w:rFonts w:hint="eastAsia" w:ascii="仿宋" w:hAnsi="仿宋" w:eastAsia="仿宋" w:cs="仿宋"/>
                <w:sz w:val="24"/>
              </w:rPr>
            </w:pPr>
            <w:r>
              <w:rPr>
                <w:rFonts w:hint="eastAsia" w:ascii="仿宋" w:hAnsi="仿宋" w:eastAsia="仿宋" w:cs="仿宋"/>
                <w:sz w:val="24"/>
              </w:rPr>
              <w:t>2</w:t>
            </w:r>
          </w:p>
        </w:tc>
        <w:tc>
          <w:tcPr>
            <w:tcW w:w="1286" w:type="dxa"/>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总务处</w:t>
            </w:r>
          </w:p>
        </w:tc>
        <w:tc>
          <w:tcPr>
            <w:tcW w:w="1267" w:type="dxa"/>
            <w:tcBorders>
              <w:tl2br w:val="nil"/>
              <w:tr2bl w:val="nil"/>
            </w:tcBorders>
            <w:vAlign w:val="center"/>
          </w:tcPr>
          <w:p>
            <w:pPr>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836" w:type="dxa"/>
            <w:gridSpan w:val="2"/>
            <w:tcBorders>
              <w:tl2br w:val="nil"/>
              <w:tr2bl w:val="nil"/>
            </w:tcBorders>
            <w:vAlign w:val="center"/>
          </w:tcPr>
          <w:p>
            <w:pPr>
              <w:snapToGrid w:val="0"/>
              <w:jc w:val="center"/>
              <w:rPr>
                <w:rFonts w:hint="eastAsia" w:ascii="仿宋" w:hAnsi="仿宋" w:eastAsia="仿宋" w:cs="仿宋"/>
                <w:sz w:val="24"/>
              </w:rPr>
            </w:pPr>
            <w:r>
              <w:rPr>
                <w:rFonts w:hint="eastAsia" w:ascii="仿宋" w:hAnsi="仿宋" w:eastAsia="仿宋" w:cs="仿宋"/>
                <w:sz w:val="24"/>
              </w:rPr>
              <w:t>合计</w:t>
            </w:r>
          </w:p>
        </w:tc>
        <w:tc>
          <w:tcPr>
            <w:tcW w:w="3939" w:type="dxa"/>
            <w:gridSpan w:val="3"/>
            <w:tcBorders>
              <w:tl2br w:val="nil"/>
              <w:tr2bl w:val="nil"/>
            </w:tcBorders>
            <w:vAlign w:val="center"/>
          </w:tcPr>
          <w:p>
            <w:pPr>
              <w:snapToGrid w:val="0"/>
              <w:jc w:val="center"/>
              <w:rPr>
                <w:rFonts w:hint="eastAsia" w:ascii="仿宋" w:hAnsi="仿宋" w:eastAsia="仿宋" w:cs="仿宋"/>
                <w:sz w:val="24"/>
              </w:rPr>
            </w:pPr>
            <w:r>
              <w:rPr>
                <w:rFonts w:hint="eastAsia" w:ascii="仿宋" w:hAnsi="仿宋" w:eastAsia="仿宋" w:cs="仿宋"/>
                <w:sz w:val="24"/>
              </w:rPr>
              <w:t>8</w:t>
            </w:r>
          </w:p>
        </w:tc>
      </w:tr>
    </w:tbl>
    <w:p>
      <w:pPr>
        <w:adjustRightInd w:val="0"/>
        <w:snapToGrid w:val="0"/>
        <w:spacing w:line="440" w:lineRule="exact"/>
        <w:rPr>
          <w:rFonts w:hint="eastAsia" w:ascii="仿宋" w:hAnsi="仿宋" w:eastAsia="仿宋" w:cs="仿宋"/>
          <w:b/>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9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2025-01-06T08:20:52Z</dcterms:created>
  <dc:creator>Administrator</dc:creator>
  <cp:lastModifiedBy>Administrator</cp:lastModifiedBy>
  <dcterms:modified xsi:type="dcterms:W3CDTF">2025-01-06T08:21:27Z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